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7365D"/>
          <w:sz w:val="32"/>
        </w:rPr>
        <w:t>DermaNova: An End-to-End Deep Learning Framework for Multi-Label Facial Skin Diagnostic Analysis, Ordinal Severity Grading, and Pharmacological Skincare Recommendation</w:t>
      </w:r>
    </w:p>
    <w:p>
      <w:pPr>
        <w:spacing w:after="80"/>
        <w:jc w:val="center"/>
      </w:pPr>
      <w:r>
        <w:rPr>
          <w:rFonts w:ascii="Times New Roman" w:hAnsi="Times New Roman"/>
          <w:b/>
          <w:color w:val="17365D"/>
          <w:sz w:val="24"/>
        </w:rPr>
        <w:t>Abhay Rajendra Raut1, Dhanraj Dadaso Gaikwad2, Pratik Pramod Patil3, Abhishek Vijay Jawale4, Mrs. A. N. Mulla5</w:t>
      </w:r>
    </w:p>
    <w:p>
      <w:pPr>
        <w:spacing w:after="40"/>
        <w:jc w:val="center"/>
      </w:pPr>
      <w:r>
        <w:rPr>
          <w:rFonts w:ascii="Times New Roman" w:hAnsi="Times New Roman"/>
          <w:i/>
          <w:color w:val="17365D"/>
          <w:sz w:val="20"/>
        </w:rPr>
        <w:t>1,2,3,4(Department of Computer Science &amp; Engineering, Annasaheb Dange College of Engineering and Technology, Ashta, India)</w:t>
      </w:r>
    </w:p>
    <w:p>
      <w:pPr>
        <w:spacing w:after="320"/>
        <w:jc w:val="center"/>
      </w:pPr>
      <w:r>
        <w:rPr>
          <w:rFonts w:ascii="Times New Roman" w:hAnsi="Times New Roman"/>
          <w:i/>
          <w:color w:val="17365D"/>
          <w:sz w:val="20"/>
        </w:rPr>
        <w:t>5(Assistant Professor &amp; Guide, Department of Computer Science &amp; Engineering, ADCET Ashta, Shivaji University Kolhapur, India)</w:t>
      </w:r>
    </w:p>
    <w:p>
      <w:pPr>
        <w:spacing w:before="160" w:after="80"/>
      </w:pPr>
      <w:r>
        <w:rPr>
          <w:rFonts w:ascii="Times New Roman" w:hAnsi="Times New Roman"/>
          <w:b/>
          <w:color w:val="000000"/>
          <w:sz w:val="22"/>
        </w:rPr>
        <w:t>Abstract:</w:t>
      </w:r>
    </w:p>
    <w:p>
      <w:pPr>
        <w:spacing w:after="80"/>
        <w:jc w:val="both"/>
      </w:pPr>
      <w:r>
        <w:rPr>
          <w:rFonts w:ascii="Times New Roman" w:hAnsi="Times New Roman"/>
          <w:b/>
          <w:sz w:val="20"/>
        </w:rPr>
        <w:t xml:space="preserve">Background: </w:t>
      </w:r>
      <w:r>
        <w:rPr>
          <w:rFonts w:ascii="Times New Roman" w:hAnsi="Times New Roman"/>
          <w:sz w:val="20"/>
        </w:rPr>
        <w:t>Facial dermatological abnormalities such as acne vulgaris, post-inflammatory hyperpigmentation, dilated pores, erythema, and rhytids impose extensive psychological and physiological morbidity globally. Timely dermatological consultation remains severely hindered by socioeconomic barriers, excessive appointment backlogs, and regional physician shortages. Recent mobile computer vision applications attempt preliminary diagnosis; however, existing benchmarks exhibit pervasive vulnerabilities including single-label oversimplification, failure to model condition co-occurrence, and unacknowledged data leakage from pre-augmented duplicates in public repositories that artificially inflate test accuracies by 15-20%. Furthermore, commercial recommendation engines rely on superficial cosmetic metadata rather than active pharmacological evidence.</w:t>
      </w:r>
    </w:p>
    <w:p>
      <w:pPr>
        <w:spacing w:after="80"/>
        <w:jc w:val="both"/>
      </w:pPr>
      <w:r>
        <w:rPr>
          <w:rFonts w:ascii="Times New Roman" w:hAnsi="Times New Roman"/>
          <w:b/>
          <w:sz w:val="20"/>
        </w:rPr>
        <w:t xml:space="preserve">Materials and Methods: </w:t>
      </w:r>
      <w:r>
        <w:rPr>
          <w:rFonts w:ascii="Times New Roman" w:hAnsi="Times New Roman"/>
          <w:sz w:val="20"/>
        </w:rPr>
        <w:t>We developed DermaNova, an end-to-end multi-task deep learning framework utilizing a multi-source corpus of 14,003 raw facial images (DS-001: 4,233 samples; DS-002: 9,770 samples). We deployed an automated perceptual deduplication pipeline using 64-bit Discrete Cosine Transform pHash and MD5 hashing, purging 3,302 near-duplicate augmented copies and resolving 54 cross-class collision clusters to lock a frozen leak-free test partition of 2,100 unique patient faces. A deterministic 8-class target taxonomy (Acne, Blackheads, Whiteheads, Dark Spots, Pigmentation, Pores, Wrinkles, Redness) was harmonized. Preprocessing incorporates facial region-of-interest extraction, bicubic super-resolution restoration for sub-224px samples, and LAB-space Contrast Limited Adaptive Histogram Equalization (CLAHE). Deep learning feature extraction is conducted via transfer learning (EfficientNet-B0, ResNet-50, MobileNetV3) optimized using Asymmetric Focal Loss for multi-label sparsity and Ordinal Ranking Loss for 3-stage acne severity grading (Mild, Moderate, Severe), paired with a validation-calibrated selective abstain rule. Multi-label severity vectors are mapped into a deterministic pharmacological rule engine recommending active cosmetic ingredients.</w:t>
      </w:r>
    </w:p>
    <w:p>
      <w:pPr>
        <w:spacing w:after="80"/>
        <w:jc w:val="both"/>
      </w:pPr>
      <w:r>
        <w:rPr>
          <w:rFonts w:ascii="Times New Roman" w:hAnsi="Times New Roman"/>
          <w:b/>
          <w:sz w:val="20"/>
        </w:rPr>
        <w:t xml:space="preserve">Results: </w:t>
      </w:r>
      <w:r>
        <w:rPr>
          <w:rFonts w:ascii="Times New Roman" w:hAnsi="Times New Roman"/>
          <w:sz w:val="20"/>
        </w:rPr>
        <w:t>Evaluated on the leak-free frozen test cohort, EfficientNet-B0 achieved a macro-averaged ROC-AUC of 0.914, an overall F1-score of 0.822, and an exact subset accuracy of 81.42%, outperforming ResNet-50 (ROC-AUC: 0.887) and MobileNetV3 (ROC-AUC: 0.862) with a lightweight CPU latency of 41.6 ms. Ablation analysis revealed that naive random splitting on uncleaned data yielded an artificially inflated accuracy of 88.35%, confirming a +16.9% artifactual leakage bias. On ordinal severity grading, off-by-at-most-one accuracy reached 96.8%, while selective abstaining yielded 76.2% exact accuracy at 65.2% coverage. Clinical review verified 96.67% active ingredient alignment and 99.33% contraindication avoidance.</w:t>
      </w:r>
    </w:p>
    <w:p>
      <w:pPr>
        <w:spacing w:after="120"/>
        <w:jc w:val="both"/>
      </w:pPr>
      <w:r>
        <w:rPr>
          <w:rFonts w:ascii="Times New Roman" w:hAnsi="Times New Roman"/>
          <w:b/>
          <w:sz w:val="20"/>
        </w:rPr>
        <w:t xml:space="preserve">Conclusion: </w:t>
      </w:r>
      <w:r>
        <w:rPr>
          <w:rFonts w:ascii="Times New Roman" w:hAnsi="Times New Roman"/>
          <w:sz w:val="20"/>
        </w:rPr>
        <w:t>DermaNova establishes a clinically grounded, empirically audited AI paradigm for multi-label facial skin diagnosis and personalized skincare recommendation, effectively neutralizing data leakage while translating computer vision predictions into evidence-based cosmetic active regimens.</w:t>
      </w:r>
    </w:p>
    <w:p>
      <w:pPr>
        <w:spacing w:after="320"/>
      </w:pPr>
      <w:r>
        <w:rPr>
          <w:rFonts w:ascii="Times New Roman" w:hAnsi="Times New Roman"/>
          <w:b/>
          <w:sz w:val="22"/>
        </w:rPr>
        <w:t xml:space="preserve">Key Word: </w:t>
      </w:r>
      <w:r>
        <w:rPr>
          <w:rFonts w:ascii="Times New Roman" w:hAnsi="Times New Roman"/>
          <w:sz w:val="20"/>
        </w:rPr>
        <w:t>Facial Dermatological Analysis; Multi-Label Classification; Data Leakage Mitigation; Perceptual Hashing; EfficientNet; Ordinal Loss; Pharmacological Skincare Recommender.</w:t>
      </w:r>
    </w:p>
    <w:p>
      <w:pPr>
        <w:spacing w:before="280" w:after="80"/>
      </w:pPr>
      <w:r>
        <w:rPr>
          <w:rFonts w:ascii="Times New Roman" w:hAnsi="Times New Roman"/>
          <w:b/>
          <w:color w:val="000000"/>
          <w:sz w:val="22"/>
        </w:rPr>
        <w:t>1. Introduction</w:t>
      </w:r>
    </w:p>
    <w:p>
      <w:pPr>
        <w:spacing w:after="120" w:line="276" w:lineRule="auto"/>
        <w:jc w:val="both"/>
      </w:pPr>
      <w:r>
        <w:rPr>
          <w:rFonts w:ascii="Times New Roman" w:hAnsi="Times New Roman"/>
          <w:sz w:val="20"/>
        </w:rPr>
        <w:t>Skin health is an integral determinant of systemic physiology and psychological well-being. Visible facial dermatological manifestations—including acne vulgaris, post-inflammatory hyperpigmentation (PIH), follicular pore dilation, erythema, and rhytids—affect over 80% of adolescents and continue into adult life across diverse demographic cohorts [1, 3]. Although prompt dermatological diagnosis facilitates early therapeutic intervention, routine consultation is frequently delayed due to significant financial costs, geographic maldistribution of specialists, and prolonged appointment queues [4, 5]. Recent breakthroughs in computer vision and deep learning have illustrated substantial clinical efficacy in automated dermatology [1, 2]. However, translating these theoretical models into robust, real-world consumer systems presents intricate challenges.</w:t>
      </w:r>
    </w:p>
    <w:p>
      <w:pPr>
        <w:spacing w:after="120" w:line="276" w:lineRule="auto"/>
        <w:jc w:val="both"/>
      </w:pPr>
      <w:r>
        <w:rPr>
          <w:rFonts w:ascii="Times New Roman" w:hAnsi="Times New Roman"/>
          <w:sz w:val="20"/>
        </w:rPr>
        <w:t>Conventional AI dermatological frameworks are predominantly trained on dermoscopic imaging datasets (such as HAM10000 and ISIC archives) focused on malignant melanoma screening [2, 3]. When transitioned to facial consumer health, existing mobile platforms and academic repositories exhibit critical structural deficiencies:</w:t>
      </w:r>
    </w:p>
    <w:p>
      <w:pPr>
        <w:spacing w:after="120" w:line="276" w:lineRule="auto"/>
        <w:jc w:val="both"/>
      </w:pPr>
      <w:r>
        <w:rPr>
          <w:rFonts w:ascii="Times New Roman" w:hAnsi="Times New Roman"/>
          <w:sz w:val="20"/>
        </w:rPr>
        <w:t>1. Single-Label Oversimplification: Natural human facial skin regularly presents co-occurring pathological and structural conditions. A single patient frequently exhibits inflammatory acne lesions in conjunction with post-inflammatory dark spots, dilated pores across the T-zone, and fine lines. Existing models such as Skyn (Amrutakavi et al.) [6], vinit714 (Shah et al.) [7], and SkinAI (Sri) [8] restrict diagnosis to a single categorical label or crude skin-type class, ignoring multi-condition co-occurrence.</w:t>
      </w:r>
    </w:p>
    <w:p>
      <w:pPr>
        <w:spacing w:after="120" w:line="276" w:lineRule="auto"/>
        <w:jc w:val="both"/>
      </w:pPr>
      <w:r>
        <w:rPr>
          <w:rFonts w:ascii="Times New Roman" w:hAnsi="Times New Roman"/>
          <w:sz w:val="20"/>
        </w:rPr>
        <w:t>2. Pervasive Data Leakage in Open Repositories: Public skin datasets compiled from platforms like Roboflow frequently contain pre-augmented copies (generated through spatial rotations, zooms, and flips) of the same patient face. As demonstrated by Shen et al. [10], standard random train-test partitioning places near-identical augmented copies in both sets, producing artificial accuracy inflation of 15% to 20% that disintegrates when tested on unseen subjects.</w:t>
      </w:r>
    </w:p>
    <w:p>
      <w:pPr>
        <w:spacing w:after="120" w:line="276" w:lineRule="auto"/>
        <w:jc w:val="both"/>
      </w:pPr>
      <w:r>
        <w:rPr>
          <w:rFonts w:ascii="Times New Roman" w:hAnsi="Times New Roman"/>
          <w:sz w:val="20"/>
        </w:rPr>
        <w:t>3. Smartphone Optical Degradation: Close-up smartphone imagery is vulnerable to severe illumination non-uniformity, shadows, and low resolution. In uncurated datasets, more than 13% of samples measure below 224x224 pixels, degrading deep convolutional feature extraction.</w:t>
      </w:r>
    </w:p>
    <w:p>
      <w:pPr>
        <w:spacing w:after="120" w:line="276" w:lineRule="auto"/>
        <w:jc w:val="both"/>
      </w:pPr>
      <w:r>
        <w:rPr>
          <w:rFonts w:ascii="Times New Roman" w:hAnsi="Times New Roman"/>
          <w:sz w:val="20"/>
        </w:rPr>
        <w:t>4. Unscientific Cosmetic Recommendation Heuristics: Current commercial recommendation systems rely heavily on cosine similarity matching across marketing claims or collaborative filtering [6, 7]. They fail to connect diagnosed dermatological severity indices to peer-reviewed active pharmacological ingredients (e.g., salicylic acid, benzoyl peroxide, retinoids, azelaic acid, and barrier-restoring ceramides).</w:t>
      </w:r>
    </w:p>
    <w:p>
      <w:pPr>
        <w:spacing w:after="120" w:line="276" w:lineRule="auto"/>
        <w:jc w:val="both"/>
      </w:pPr>
      <w:r>
        <w:rPr>
          <w:rFonts w:ascii="Times New Roman" w:hAnsi="Times New Roman"/>
          <w:sz w:val="20"/>
        </w:rPr>
        <w:t>To address these unmet needs, we propose DermaNova, an end-to-end multi-task deep learning and clinical decision-support framework. DermaNova integrates rigorous perceptual deduplication, a harmonized 8-class target taxonomy, multi-stage image enhancement, multi-label and ordinal severity classification, and a deterministic pharmacological skincare recommendation engine into a cohesive production pipeline.</w:t>
      </w:r>
    </w:p>
    <w:p>
      <w:pPr>
        <w:spacing w:before="280" w:after="80"/>
      </w:pPr>
      <w:r>
        <w:rPr>
          <w:rFonts w:ascii="Times New Roman" w:hAnsi="Times New Roman"/>
          <w:b/>
          <w:color w:val="000000"/>
          <w:sz w:val="22"/>
        </w:rPr>
        <w:t>2. Material And Methods</w:t>
      </w:r>
    </w:p>
    <w:p>
      <w:pPr>
        <w:spacing w:after="120" w:line="276" w:lineRule="auto"/>
        <w:jc w:val="both"/>
      </w:pPr>
      <w:r>
        <w:rPr>
          <w:rFonts w:ascii="Times New Roman" w:hAnsi="Times New Roman"/>
          <w:sz w:val="20"/>
        </w:rPr>
        <w:t>The research methodology followed a prospective, multi-phase engineering protocol encompassing dual-cohort dataset ingestion, computational deduplication, label taxonomy harmonization, optical preprocessing, multi-task convolutional neural network training with specialized loss functions, and pharmacological decision-rule synthesis.</w:t>
      </w:r>
    </w:p>
    <w:p>
      <w:pPr>
        <w:spacing w:before="160" w:after="60"/>
      </w:pPr>
      <w:r>
        <w:rPr>
          <w:rFonts w:ascii="Times New Roman" w:hAnsi="Times New Roman"/>
          <w:b/>
          <w:color w:val="17365D"/>
          <w:sz w:val="20"/>
        </w:rPr>
        <w:t>2.1 Dataset Ingestion and Dual-Cohort Audit</w:t>
      </w:r>
    </w:p>
    <w:p>
      <w:pPr>
        <w:spacing w:after="120" w:line="276" w:lineRule="auto"/>
        <w:jc w:val="both"/>
      </w:pPr>
      <w:r>
        <w:rPr>
          <w:rFonts w:ascii="Times New Roman" w:hAnsi="Times New Roman"/>
          <w:sz w:val="20"/>
        </w:rPr>
        <w:t>We acquired two public dermatological image cohorts totaling 14,003 raw samples:</w:t>
      </w:r>
    </w:p>
    <w:p>
      <w:pPr>
        <w:spacing w:after="120" w:line="276" w:lineRule="auto"/>
        <w:jc w:val="both"/>
      </w:pPr>
      <w:r>
        <w:rPr>
          <w:rFonts w:ascii="Times New Roman" w:hAnsi="Times New Roman"/>
          <w:sz w:val="20"/>
        </w:rPr>
        <w:t>• Dataset #1 (DS-001: Facial Skin): Sourced from Kaggle/Roboflow, comprising 4,233 images structured across 8 raw classes (inflammatory acne, non-inflammatory acne black heads, non-inflammatory acne white heads, dark spots, pigmentation, pores, wrinkles, Redness).</w:t>
      </w:r>
    </w:p>
    <w:p>
      <w:pPr>
        <w:spacing w:after="120" w:line="276" w:lineRule="auto"/>
        <w:jc w:val="both"/>
      </w:pPr>
      <w:r>
        <w:rPr>
          <w:rFonts w:ascii="Times New Roman" w:hAnsi="Times New Roman"/>
          <w:sz w:val="20"/>
        </w:rPr>
        <w:t>• Dataset #2 (DS-002: GlowMix Skin V2): Sourced from Kaggle (curated by Drishya Tomar), comprising 9,770 raw images (3.81 GB) structured across 5 raw classes (acne, blackheades, dark spots, pores, wrinkles).</w:t>
      </w:r>
    </w:p>
    <w:p>
      <w:pPr>
        <w:spacing w:after="120" w:line="276" w:lineRule="auto"/>
        <w:jc w:val="both"/>
      </w:pPr>
      <w:r>
        <w:rPr>
          <w:rFonts w:ascii="Times New Roman" w:hAnsi="Times New Roman"/>
          <w:sz w:val="20"/>
        </w:rPr>
        <w:t>Audit inspection revealed that DS-001 contained 1,142 pre-augmented duplicates with Roboflow hash tags (.rf.&lt;hash&gt;.jpg), while DS-002 suffered from severe resolution deficits where 1,282 images (13.12% overall; 43.59% of acne images) measured below 224x224 pixels. Furthermore, 25 samples in DS-002 labeled 'acne' were identified as open comedones ('acne-open-comedo-*'), and 28 cross-dataset pairs were redundantly labeled as 'dark spots' in one source and 'pigmentation' in the other.</w:t>
      </w:r>
    </w:p>
    <w:p>
      <w:pPr>
        <w:spacing w:before="160" w:after="60"/>
      </w:pPr>
      <w:r>
        <w:rPr>
          <w:rFonts w:ascii="Times New Roman" w:hAnsi="Times New Roman"/>
          <w:b/>
          <w:color w:val="17365D"/>
          <w:sz w:val="20"/>
        </w:rPr>
        <w:t>2.2 Perceptual Hash Deduplication and Frozen Test Set Locking</w:t>
      </w:r>
    </w:p>
    <w:p>
      <w:pPr>
        <w:spacing w:after="120" w:line="276" w:lineRule="auto"/>
        <w:jc w:val="both"/>
      </w:pPr>
      <w:r>
        <w:rPr>
          <w:rFonts w:ascii="Times New Roman" w:hAnsi="Times New Roman"/>
          <w:sz w:val="20"/>
        </w:rPr>
        <w:t>To eliminate data leakage, we implemented a dual hashing deduplication pipeline. Bit-level exact duplicates were identified via MD5 hashing. Perceptual duplicates and transformed copies were discovered using 64-bit Discrete Cosine Transform perceptual hashing (pHash). Each image was converted to 32x32 grayscale, transformed via 2D-DCT, and encoded into a 64-bit boolean hash based on low-frequency coefficients relative to the median. Pairwise Hamming distances were evaluated; image pairs with Hamming distance &lt;= 6 were flagged as duplicates.</w:t>
      </w:r>
    </w:p>
    <w:p>
      <w:pPr>
        <w:spacing w:after="120" w:line="276" w:lineRule="auto"/>
        <w:jc w:val="both"/>
      </w:pPr>
      <w:r>
        <w:rPr>
          <w:rFonts w:ascii="Times New Roman" w:hAnsi="Times New Roman"/>
          <w:sz w:val="20"/>
        </w:rPr>
        <w:t>This pipeline successfully purged 3,302 redundant instances and resolved 54 cross-class collision clusters, producing a refined dataset of 10,701 unique, validated facial images. Following the methodology of Shen et al. [10], a subset of 2,100 unique, unaugmented face crops was permanently locked as a frozen evaluation partition (frozen_test_lock.json) prior to model experimentation.</w:t>
      </w:r>
    </w:p>
    <w:p>
      <w:pPr>
        <w:spacing w:before="160" w:after="60"/>
      </w:pPr>
      <w:r>
        <w:rPr>
          <w:rFonts w:ascii="Times New Roman" w:hAnsi="Times New Roman"/>
          <w:b/>
          <w:color w:val="17365D"/>
          <w:sz w:val="20"/>
        </w:rPr>
        <w:t>2.3 Scientifically Defensible 8-Class Harmonization Taxonomy</w:t>
      </w:r>
    </w:p>
    <w:p>
      <w:pPr>
        <w:spacing w:after="120" w:line="276" w:lineRule="auto"/>
        <w:jc w:val="both"/>
      </w:pPr>
      <w:r>
        <w:rPr>
          <w:rFonts w:ascii="Times New Roman" w:hAnsi="Times New Roman"/>
          <w:sz w:val="20"/>
        </w:rPr>
        <w:t>To reconcile semantic discrepancies between datasets, we formulated a deterministic 8-class target taxonomy: {Acne, Blackheads, Whiteheads, Dark Spots, Pigmentation, Pores, Wrinkles, Redness}. Inflammatory acne was consolidated under 'Acne'. Blackheads and reclassified open-comedo samples were mapped to 'Blackheads'. Whiteheads was maintained as an independent class and supplemented with targeted offline data augmentation (elastic deformations and illumination jitter) to address severe sample sparsity. 'Dark Spots' was strictly reserved for localized, discrete macules, whereas 'Pigmentation' was designated for diffuse melasma and generalized hyperchromia.</w:t>
      </w:r>
    </w:p>
    <w:p>
      <w:pPr>
        <w:spacing w:before="160" w:after="60"/>
      </w:pPr>
      <w:r>
        <w:rPr>
          <w:rFonts w:ascii="Times New Roman" w:hAnsi="Times New Roman"/>
          <w:b/>
          <w:color w:val="17365D"/>
          <w:sz w:val="20"/>
        </w:rPr>
        <w:t>2.4 Multi-Stage Image Preprocessing Pipeline</w:t>
      </w:r>
    </w:p>
    <w:p>
      <w:pPr>
        <w:spacing w:after="120" w:line="276" w:lineRule="auto"/>
        <w:jc w:val="both"/>
      </w:pPr>
      <w:r>
        <w:rPr>
          <w:rFonts w:ascii="Times New Roman" w:hAnsi="Times New Roman"/>
          <w:sz w:val="20"/>
        </w:rPr>
        <w:t>To standardize heterogeneous consumer uploads, raw inputs pass through a sequential three-tier preprocessing pipeline:</w:t>
      </w:r>
    </w:p>
    <w:p>
      <w:pPr>
        <w:spacing w:after="120" w:line="276" w:lineRule="auto"/>
        <w:jc w:val="both"/>
      </w:pPr>
      <w:r>
        <w:rPr>
          <w:rFonts w:ascii="Times New Roman" w:hAnsi="Times New Roman"/>
          <w:sz w:val="20"/>
        </w:rPr>
        <w:t>1. Face Detection &amp; ROI Isolation: Facial bounding coordinates are detected using lightweight facial landmark extractors, cropping extraneous background with a calibrated 10% outer margin.</w:t>
      </w:r>
    </w:p>
    <w:p>
      <w:pPr>
        <w:spacing w:after="120" w:line="276" w:lineRule="auto"/>
        <w:jc w:val="both"/>
      </w:pPr>
      <w:r>
        <w:rPr>
          <w:rFonts w:ascii="Times New Roman" w:hAnsi="Times New Roman"/>
          <w:sz w:val="20"/>
        </w:rPr>
        <w:t>2. Bicubic Super-Resolution: Images falling below standard convolutional dimensions (&lt;224x224 pixels) are upscaled via optimized bicubic kernel interpolation to prevent aliasing.</w:t>
      </w:r>
    </w:p>
    <w:p>
      <w:pPr>
        <w:spacing w:after="120" w:line="276" w:lineRule="auto"/>
        <w:jc w:val="both"/>
      </w:pPr>
      <w:r>
        <w:rPr>
          <w:rFonts w:ascii="Times New Roman" w:hAnsi="Times New Roman"/>
          <w:sz w:val="20"/>
        </w:rPr>
        <w:t>3. LAB-Space CLAHE Equalization: To counteract non-uniform ambient illumination without altering chromatic skin tone fidelity, images are converted to CIE L*a*b* color space. Contrast Limited Adaptive Histogram Equalization (CLAHE) is applied exclusively to the luminance (L*) channel with a clip limit of 2.0 over an 8x8 contextual tile grid, followed by reconstruction into standard RGB.</w:t>
      </w:r>
    </w:p>
    <w:p>
      <w:pPr>
        <w:spacing w:before="160" w:after="60"/>
      </w:pPr>
      <w:r>
        <w:rPr>
          <w:rFonts w:ascii="Times New Roman" w:hAnsi="Times New Roman"/>
          <w:b/>
          <w:color w:val="17365D"/>
          <w:sz w:val="20"/>
        </w:rPr>
        <w:t>2.5 Deep Learning Backbone Architecture and Loss Formulations</w:t>
      </w:r>
    </w:p>
    <w:p>
      <w:pPr>
        <w:spacing w:after="120" w:line="276" w:lineRule="auto"/>
        <w:jc w:val="both"/>
      </w:pPr>
      <w:r>
        <w:rPr>
          <w:rFonts w:ascii="Times New Roman" w:hAnsi="Times New Roman"/>
          <w:sz w:val="20"/>
        </w:rPr>
        <w:t>We evaluated five deep learning architectures: EfficientNet-B0, EfficientNet-B4, ResNet-50, MobileNetV3-Large, and DenseNet121. The convolutional backbone extracts feature representations z in R^d, which branch into two distinct heads:</w:t>
      </w:r>
    </w:p>
    <w:p>
      <w:pPr>
        <w:spacing w:after="120" w:line="276" w:lineRule="auto"/>
        <w:jc w:val="both"/>
      </w:pPr>
      <w:r>
        <w:rPr>
          <w:rFonts w:ascii="Times New Roman" w:hAnsi="Times New Roman"/>
          <w:sz w:val="20"/>
        </w:rPr>
        <w:t>• Multi-Label Diagnostic Head: Outputs an 8-dimensional probability vector via sigmoid activation y_hat = sigmoid(W_c * z + b_c) estimating the joint occurrence of all conditions.</w:t>
      </w:r>
    </w:p>
    <w:p>
      <w:pPr>
        <w:spacing w:after="120" w:line="276" w:lineRule="auto"/>
        <w:jc w:val="both"/>
      </w:pPr>
      <w:r>
        <w:rPr>
          <w:rFonts w:ascii="Times New Roman" w:hAnsi="Times New Roman"/>
          <w:sz w:val="20"/>
        </w:rPr>
        <w:t>• Ordinal Severity Head: For acne conditions exhibiting continuous pathological severity, the output predicts ordinal grades S = {0: Mild, 1: Moderate, 2: Severe}.</w:t>
      </w:r>
    </w:p>
    <w:p>
      <w:pPr>
        <w:spacing w:after="120" w:line="276" w:lineRule="auto"/>
        <w:jc w:val="both"/>
      </w:pPr>
      <w:r>
        <w:rPr>
          <w:rFonts w:ascii="Times New Roman" w:hAnsi="Times New Roman"/>
          <w:sz w:val="20"/>
        </w:rPr>
        <w:t>To mitigate severe positive-negative sample imbalance across sparse classes, the multi-label head is trained using Asymmetric Focal Loss (ASL) with positive focusing gamma+ = 1, negative focusing gamma- = 4, and probability margin m = 0.05. The ordinal severity head is trained using Ordinal Ranking Cross-Entropy loss decomposing 3-class severity into cumulative binary probabilities, guaranteeing that egregious misclassifications (Mild to Severe) receive higher penalties than adjacent boundary transitions.</w:t>
      </w:r>
    </w:p>
    <w:p>
      <w:pPr>
        <w:spacing w:before="160" w:after="60"/>
      </w:pPr>
      <w:r>
        <w:rPr>
          <w:rFonts w:ascii="Times New Roman" w:hAnsi="Times New Roman"/>
          <w:b/>
          <w:color w:val="17365D"/>
          <w:sz w:val="20"/>
        </w:rPr>
        <w:t>2.6 Selective Abstain Mechanism and Pharmacological Recommendation Engine</w:t>
      </w:r>
    </w:p>
    <w:p>
      <w:pPr>
        <w:spacing w:after="120" w:line="276" w:lineRule="auto"/>
        <w:jc w:val="both"/>
      </w:pPr>
      <w:r>
        <w:rPr>
          <w:rFonts w:ascii="Times New Roman" w:hAnsi="Times New Roman"/>
          <w:sz w:val="20"/>
        </w:rPr>
        <w:t>To address borderline ambiguity, an adaptive abstain threshold delta = 0.12 was calibrated on validation data. Borderline predictions are presented as calibrated ranges ('Mild-to-Moderate') rather than definitive single grades.</w:t>
      </w:r>
    </w:p>
    <w:p>
      <w:pPr>
        <w:spacing w:after="120" w:line="276" w:lineRule="auto"/>
        <w:jc w:val="both"/>
      </w:pPr>
      <w:r>
        <w:rPr>
          <w:rFonts w:ascii="Times New Roman" w:hAnsi="Times New Roman"/>
          <w:sz w:val="20"/>
        </w:rPr>
        <w:t>Predicted condition severity vectors are subsequently processed by a deterministic pharmacological rule engine. Rather than relying on black-box cosmetic marketing text, the engine maps clinical indices to proven cosmetic actives: Salicylic Acid (1-2%) for open comedones, Benzoyl Peroxide (2.5-5%) and Azelaic Acid for inflammatory acne, Retinoids (0.1-0.3%) for rhytids and cellular turnover, Niacinamide (5-10%) for pore elasticity and sebum regulation, and Ceramides/Panthenol for epidermal barrier restoration. Formulations with chemical contraindications (e.g., co-application of strong AHAs and high-strength retinoids) are systematically blocked.</w:t>
      </w:r>
    </w:p>
    <w:p>
      <w:pPr>
        <w:spacing w:before="280" w:after="80"/>
      </w:pPr>
      <w:r>
        <w:rPr>
          <w:rFonts w:ascii="Times New Roman" w:hAnsi="Times New Roman"/>
          <w:b/>
          <w:color w:val="000000"/>
          <w:sz w:val="22"/>
        </w:rPr>
        <w:t>3. Result</w:t>
      </w:r>
    </w:p>
    <w:p>
      <w:pPr>
        <w:spacing w:after="120" w:line="276" w:lineRule="auto"/>
        <w:jc w:val="both"/>
      </w:pPr>
      <w:r>
        <w:rPr>
          <w:rFonts w:ascii="Times New Roman" w:hAnsi="Times New Roman"/>
          <w:sz w:val="20"/>
        </w:rPr>
        <w:t>Empirical evaluations were conducted on the frozen leak-free test partition across dataset audit parameters, model classification benchmarks, data leakage ablation, per-condition diagnostics, and recommendation rule precision.</w:t>
      </w:r>
    </w:p>
    <w:p>
      <w:pPr>
        <w:spacing w:before="160" w:after="60"/>
      </w:pPr>
      <w:r>
        <w:rPr>
          <w:rFonts w:ascii="Times New Roman" w:hAnsi="Times New Roman"/>
          <w:b/>
          <w:color w:val="17365D"/>
          <w:sz w:val="20"/>
        </w:rPr>
        <w:t>3.1 Dataset Audit and Preprocessing Yields</w:t>
      </w:r>
    </w:p>
    <w:p>
      <w:pPr>
        <w:spacing w:after="120" w:line="276" w:lineRule="auto"/>
        <w:jc w:val="both"/>
      </w:pPr>
      <w:r>
        <w:rPr>
          <w:rFonts w:ascii="Times New Roman" w:hAnsi="Times New Roman"/>
          <w:sz w:val="20"/>
        </w:rPr>
        <w:t>Table 1 outlines the dataset parameters, deduplication yields, and resolution profiles across the audit pipeline.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340"/>
            <w:shd w:val="clear" w:color="auto" w:fill="17365D"/>
            <w:tcMar>
              <w:top w:w="120" w:type="dxa"/>
              <w:bottom w:w="120" w:type="dxa"/>
              <w:left w:w="150" w:type="dxa"/>
              <w:right w:w="150" w:type="dxa"/>
            </w:tcMar>
          </w:tcPr>
          <w:p>
            <w:r>
              <w:rPr>
                <w:rFonts w:ascii="Times New Roman" w:hAnsi="Times New Roman"/>
                <w:b/>
                <w:color w:val="FFFFFF"/>
                <w:sz w:val="18"/>
              </w:rPr>
              <w:t>Metric / Characteristic</w:t>
            </w:r>
          </w:p>
        </w:tc>
        <w:tc>
          <w:tcPr>
            <w:tcW w:type="dxa" w:w="2340"/>
            <w:shd w:val="clear" w:color="auto" w:fill="17365D"/>
            <w:tcMar>
              <w:top w:w="120" w:type="dxa"/>
              <w:bottom w:w="120" w:type="dxa"/>
              <w:left w:w="150" w:type="dxa"/>
              <w:right w:w="150" w:type="dxa"/>
            </w:tcMar>
          </w:tcPr>
          <w:p>
            <w:r>
              <w:rPr>
                <w:rFonts w:ascii="Times New Roman" w:hAnsi="Times New Roman"/>
                <w:b/>
                <w:color w:val="FFFFFF"/>
                <w:sz w:val="18"/>
              </w:rPr>
              <w:t>Dataset #1 (Facial Skin)</w:t>
            </w:r>
          </w:p>
        </w:tc>
        <w:tc>
          <w:tcPr>
            <w:tcW w:type="dxa" w:w="2340"/>
            <w:shd w:val="clear" w:color="auto" w:fill="17365D"/>
            <w:tcMar>
              <w:top w:w="120" w:type="dxa"/>
              <w:bottom w:w="120" w:type="dxa"/>
              <w:left w:w="150" w:type="dxa"/>
              <w:right w:w="150" w:type="dxa"/>
            </w:tcMar>
          </w:tcPr>
          <w:p>
            <w:r>
              <w:rPr>
                <w:rFonts w:ascii="Times New Roman" w:hAnsi="Times New Roman"/>
                <w:b/>
                <w:color w:val="FFFFFF"/>
                <w:sz w:val="18"/>
              </w:rPr>
              <w:t>Dataset #2 (GlowMix V2)</w:t>
            </w:r>
          </w:p>
        </w:tc>
        <w:tc>
          <w:tcPr>
            <w:tcW w:type="dxa" w:w="2340"/>
            <w:shd w:val="clear" w:color="auto" w:fill="17365D"/>
            <w:tcMar>
              <w:top w:w="120" w:type="dxa"/>
              <w:bottom w:w="120" w:type="dxa"/>
              <w:left w:w="150" w:type="dxa"/>
              <w:right w:w="150" w:type="dxa"/>
            </w:tcMar>
          </w:tcPr>
          <w:p>
            <w:r>
              <w:rPr>
                <w:rFonts w:ascii="Times New Roman" w:hAnsi="Times New Roman"/>
                <w:b/>
                <w:color w:val="FFFFFF"/>
                <w:sz w:val="18"/>
              </w:rPr>
              <w:t>Unified DermaNova Corpus</w:t>
            </w:r>
          </w:p>
        </w:tc>
      </w:tr>
      <w:tr>
        <w:tc>
          <w:tcPr>
            <w:tcW w:type="dxa" w:w="2340"/>
            <w:tcMar>
              <w:top w:w="100" w:type="dxa"/>
              <w:bottom w:w="100" w:type="dxa"/>
              <w:left w:w="150" w:type="dxa"/>
              <w:right w:w="150" w:type="dxa"/>
            </w:tcMar>
          </w:tcPr>
          <w:p>
            <w:r>
              <w:rPr>
                <w:rFonts w:ascii="Times New Roman" w:hAnsi="Times New Roman"/>
                <w:b/>
                <w:sz w:val="17"/>
              </w:rPr>
              <w:t>Raw Image Count</w:t>
            </w:r>
          </w:p>
        </w:tc>
        <w:tc>
          <w:tcPr>
            <w:tcW w:type="dxa" w:w="2340"/>
            <w:tcMar>
              <w:top w:w="100" w:type="dxa"/>
              <w:bottom w:w="100" w:type="dxa"/>
              <w:left w:w="150" w:type="dxa"/>
              <w:right w:w="150" w:type="dxa"/>
            </w:tcMar>
          </w:tcPr>
          <w:p>
            <w:r>
              <w:rPr>
                <w:rFonts w:ascii="Times New Roman" w:hAnsi="Times New Roman"/>
                <w:sz w:val="17"/>
              </w:rPr>
              <w:t>4,233</w:t>
            </w:r>
          </w:p>
        </w:tc>
        <w:tc>
          <w:tcPr>
            <w:tcW w:type="dxa" w:w="2340"/>
            <w:tcMar>
              <w:top w:w="100" w:type="dxa"/>
              <w:bottom w:w="100" w:type="dxa"/>
              <w:left w:w="150" w:type="dxa"/>
              <w:right w:w="150" w:type="dxa"/>
            </w:tcMar>
          </w:tcPr>
          <w:p>
            <w:r>
              <w:rPr>
                <w:rFonts w:ascii="Times New Roman" w:hAnsi="Times New Roman"/>
                <w:sz w:val="17"/>
              </w:rPr>
              <w:t>9,770</w:t>
            </w:r>
          </w:p>
        </w:tc>
        <w:tc>
          <w:tcPr>
            <w:tcW w:type="dxa" w:w="2340"/>
            <w:tcMar>
              <w:top w:w="100" w:type="dxa"/>
              <w:bottom w:w="100" w:type="dxa"/>
              <w:left w:w="150" w:type="dxa"/>
              <w:right w:w="150" w:type="dxa"/>
            </w:tcMar>
          </w:tcPr>
          <w:p>
            <w:r>
              <w:rPr>
                <w:rFonts w:ascii="Times New Roman" w:hAnsi="Times New Roman"/>
                <w:b/>
                <w:sz w:val="17"/>
              </w:rPr>
              <w:t>14,003</w:t>
            </w:r>
          </w:p>
        </w:tc>
      </w:tr>
      <w:tr>
        <w:tc>
          <w:tcPr>
            <w:tcW w:type="dxa" w:w="2340"/>
            <w:tcMar>
              <w:top w:w="100" w:type="dxa"/>
              <w:bottom w:w="100" w:type="dxa"/>
              <w:left w:w="150" w:type="dxa"/>
              <w:right w:w="150" w:type="dxa"/>
            </w:tcMar>
            <w:shd w:val="clear" w:color="auto" w:fill="F2F5F8"/>
          </w:tcPr>
          <w:p>
            <w:r>
              <w:rPr>
                <w:rFonts w:ascii="Times New Roman" w:hAnsi="Times New Roman"/>
                <w:b/>
                <w:sz w:val="17"/>
              </w:rPr>
              <w:t>Source Platform / Format</w:t>
            </w:r>
          </w:p>
        </w:tc>
        <w:tc>
          <w:tcPr>
            <w:tcW w:type="dxa" w:w="2340"/>
            <w:tcMar>
              <w:top w:w="100" w:type="dxa"/>
              <w:bottom w:w="100" w:type="dxa"/>
              <w:left w:w="150" w:type="dxa"/>
              <w:right w:w="150" w:type="dxa"/>
            </w:tcMar>
            <w:shd w:val="clear" w:color="auto" w:fill="F2F5F8"/>
          </w:tcPr>
          <w:p>
            <w:r>
              <w:rPr>
                <w:rFonts w:ascii="Times New Roman" w:hAnsi="Times New Roman"/>
                <w:sz w:val="17"/>
              </w:rPr>
              <w:t>Roboflow / JPG</w:t>
            </w:r>
          </w:p>
        </w:tc>
        <w:tc>
          <w:tcPr>
            <w:tcW w:type="dxa" w:w="2340"/>
            <w:tcMar>
              <w:top w:w="100" w:type="dxa"/>
              <w:bottom w:w="100" w:type="dxa"/>
              <w:left w:w="150" w:type="dxa"/>
              <w:right w:w="150" w:type="dxa"/>
            </w:tcMar>
            <w:shd w:val="clear" w:color="auto" w:fill="F2F5F8"/>
          </w:tcPr>
          <w:p>
            <w:r>
              <w:rPr>
                <w:rFonts w:ascii="Times New Roman" w:hAnsi="Times New Roman"/>
                <w:sz w:val="17"/>
              </w:rPr>
              <w:t>Kaggle / JPG &amp; PNG</w:t>
            </w:r>
          </w:p>
        </w:tc>
        <w:tc>
          <w:tcPr>
            <w:tcW w:type="dxa" w:w="2340"/>
            <w:tcMar>
              <w:top w:w="100" w:type="dxa"/>
              <w:bottom w:w="100" w:type="dxa"/>
              <w:left w:w="150" w:type="dxa"/>
              <w:right w:w="150" w:type="dxa"/>
            </w:tcMar>
            <w:shd w:val="clear" w:color="auto" w:fill="F2F5F8"/>
          </w:tcPr>
          <w:p>
            <w:r>
              <w:rPr>
                <w:rFonts w:ascii="Times New Roman" w:hAnsi="Times New Roman"/>
                <w:b/>
                <w:sz w:val="17"/>
              </w:rPr>
              <w:t>Multi-Source Mixed</w:t>
            </w:r>
          </w:p>
        </w:tc>
      </w:tr>
      <w:tr>
        <w:tc>
          <w:tcPr>
            <w:tcW w:type="dxa" w:w="2340"/>
            <w:tcMar>
              <w:top w:w="100" w:type="dxa"/>
              <w:bottom w:w="100" w:type="dxa"/>
              <w:left w:w="150" w:type="dxa"/>
              <w:right w:w="150" w:type="dxa"/>
            </w:tcMar>
          </w:tcPr>
          <w:p>
            <w:r>
              <w:rPr>
                <w:rFonts w:ascii="Times New Roman" w:hAnsi="Times New Roman"/>
                <w:b/>
                <w:sz w:val="17"/>
              </w:rPr>
              <w:t>Unique Perceptual Hashes (pHash)</w:t>
            </w:r>
          </w:p>
        </w:tc>
        <w:tc>
          <w:tcPr>
            <w:tcW w:type="dxa" w:w="2340"/>
            <w:tcMar>
              <w:top w:w="100" w:type="dxa"/>
              <w:bottom w:w="100" w:type="dxa"/>
              <w:left w:w="150" w:type="dxa"/>
              <w:right w:w="150" w:type="dxa"/>
            </w:tcMar>
          </w:tcPr>
          <w:p>
            <w:r>
              <w:rPr>
                <w:rFonts w:ascii="Times New Roman" w:hAnsi="Times New Roman"/>
                <w:sz w:val="17"/>
              </w:rPr>
              <w:t>3,347</w:t>
            </w:r>
          </w:p>
        </w:tc>
        <w:tc>
          <w:tcPr>
            <w:tcW w:type="dxa" w:w="2340"/>
            <w:tcMar>
              <w:top w:w="100" w:type="dxa"/>
              <w:bottom w:w="100" w:type="dxa"/>
              <w:left w:w="150" w:type="dxa"/>
              <w:right w:w="150" w:type="dxa"/>
            </w:tcMar>
          </w:tcPr>
          <w:p>
            <w:r>
              <w:rPr>
                <w:rFonts w:ascii="Times New Roman" w:hAnsi="Times New Roman"/>
                <w:sz w:val="17"/>
              </w:rPr>
              <w:t>7,354</w:t>
            </w:r>
          </w:p>
        </w:tc>
        <w:tc>
          <w:tcPr>
            <w:tcW w:type="dxa" w:w="2340"/>
            <w:tcMar>
              <w:top w:w="100" w:type="dxa"/>
              <w:bottom w:w="100" w:type="dxa"/>
              <w:left w:w="150" w:type="dxa"/>
              <w:right w:w="150" w:type="dxa"/>
            </w:tcMar>
          </w:tcPr>
          <w:p>
            <w:r>
              <w:rPr>
                <w:rFonts w:ascii="Times New Roman" w:hAnsi="Times New Roman"/>
                <w:b/>
                <w:sz w:val="17"/>
              </w:rPr>
              <w:t>10,701</w:t>
            </w:r>
          </w:p>
        </w:tc>
      </w:tr>
      <w:tr>
        <w:tc>
          <w:tcPr>
            <w:tcW w:type="dxa" w:w="2340"/>
            <w:tcMar>
              <w:top w:w="100" w:type="dxa"/>
              <w:bottom w:w="100" w:type="dxa"/>
              <w:left w:w="150" w:type="dxa"/>
              <w:right w:w="150" w:type="dxa"/>
            </w:tcMar>
            <w:shd w:val="clear" w:color="auto" w:fill="F2F5F8"/>
          </w:tcPr>
          <w:p>
            <w:r>
              <w:rPr>
                <w:rFonts w:ascii="Times New Roman" w:hAnsi="Times New Roman"/>
                <w:b/>
                <w:sz w:val="17"/>
              </w:rPr>
              <w:t>Purged Redundancies / Augmentations</w:t>
            </w:r>
          </w:p>
        </w:tc>
        <w:tc>
          <w:tcPr>
            <w:tcW w:type="dxa" w:w="2340"/>
            <w:tcMar>
              <w:top w:w="100" w:type="dxa"/>
              <w:bottom w:w="100" w:type="dxa"/>
              <w:left w:w="150" w:type="dxa"/>
              <w:right w:w="150" w:type="dxa"/>
            </w:tcMar>
            <w:shd w:val="clear" w:color="auto" w:fill="F2F5F8"/>
          </w:tcPr>
          <w:p>
            <w:r>
              <w:rPr>
                <w:rFonts w:ascii="Times New Roman" w:hAnsi="Times New Roman"/>
                <w:sz w:val="17"/>
              </w:rPr>
              <w:t>886 (20.9%)</w:t>
            </w:r>
          </w:p>
        </w:tc>
        <w:tc>
          <w:tcPr>
            <w:tcW w:type="dxa" w:w="2340"/>
            <w:tcMar>
              <w:top w:w="100" w:type="dxa"/>
              <w:bottom w:w="100" w:type="dxa"/>
              <w:left w:w="150" w:type="dxa"/>
              <w:right w:w="150" w:type="dxa"/>
            </w:tcMar>
            <w:shd w:val="clear" w:color="auto" w:fill="F2F5F8"/>
          </w:tcPr>
          <w:p>
            <w:r>
              <w:rPr>
                <w:rFonts w:ascii="Times New Roman" w:hAnsi="Times New Roman"/>
                <w:sz w:val="17"/>
              </w:rPr>
              <w:t>2,416 (24.7%)</w:t>
            </w:r>
          </w:p>
        </w:tc>
        <w:tc>
          <w:tcPr>
            <w:tcW w:type="dxa" w:w="2340"/>
            <w:tcMar>
              <w:top w:w="100" w:type="dxa"/>
              <w:bottom w:w="100" w:type="dxa"/>
              <w:left w:w="150" w:type="dxa"/>
              <w:right w:w="150" w:type="dxa"/>
            </w:tcMar>
            <w:shd w:val="clear" w:color="auto" w:fill="F2F5F8"/>
          </w:tcPr>
          <w:p>
            <w:r>
              <w:rPr>
                <w:rFonts w:ascii="Times New Roman" w:hAnsi="Times New Roman"/>
                <w:b/>
                <w:sz w:val="17"/>
              </w:rPr>
              <w:t>3,302 (23.6%)</w:t>
            </w:r>
          </w:p>
        </w:tc>
      </w:tr>
      <w:tr>
        <w:tc>
          <w:tcPr>
            <w:tcW w:type="dxa" w:w="2340"/>
            <w:tcMar>
              <w:top w:w="100" w:type="dxa"/>
              <w:bottom w:w="100" w:type="dxa"/>
              <w:left w:w="150" w:type="dxa"/>
              <w:right w:w="150" w:type="dxa"/>
            </w:tcMar>
          </w:tcPr>
          <w:p>
            <w:r>
              <w:rPr>
                <w:rFonts w:ascii="Times New Roman" w:hAnsi="Times New Roman"/>
                <w:b/>
                <w:sz w:val="17"/>
              </w:rPr>
              <w:t>Cross-Class Label Collisions</w:t>
            </w:r>
          </w:p>
        </w:tc>
        <w:tc>
          <w:tcPr>
            <w:tcW w:type="dxa" w:w="2340"/>
            <w:tcMar>
              <w:top w:w="100" w:type="dxa"/>
              <w:bottom w:w="100" w:type="dxa"/>
              <w:left w:w="150" w:type="dxa"/>
              <w:right w:w="150" w:type="dxa"/>
            </w:tcMar>
          </w:tcPr>
          <w:p>
            <w:r>
              <w:rPr>
                <w:rFonts w:ascii="Times New Roman" w:hAnsi="Times New Roman"/>
                <w:sz w:val="17"/>
              </w:rPr>
              <w:t>28 pairs</w:t>
            </w:r>
          </w:p>
        </w:tc>
        <w:tc>
          <w:tcPr>
            <w:tcW w:type="dxa" w:w="2340"/>
            <w:tcMar>
              <w:top w:w="100" w:type="dxa"/>
              <w:bottom w:w="100" w:type="dxa"/>
              <w:left w:w="150" w:type="dxa"/>
              <w:right w:w="150" w:type="dxa"/>
            </w:tcMar>
          </w:tcPr>
          <w:p>
            <w:r>
              <w:rPr>
                <w:rFonts w:ascii="Times New Roman" w:hAnsi="Times New Roman"/>
                <w:sz w:val="17"/>
              </w:rPr>
              <w:t>26 groups</w:t>
            </w:r>
          </w:p>
        </w:tc>
        <w:tc>
          <w:tcPr>
            <w:tcW w:type="dxa" w:w="2340"/>
            <w:tcMar>
              <w:top w:w="100" w:type="dxa"/>
              <w:bottom w:w="100" w:type="dxa"/>
              <w:left w:w="150" w:type="dxa"/>
              <w:right w:w="150" w:type="dxa"/>
            </w:tcMar>
          </w:tcPr>
          <w:p>
            <w:r>
              <w:rPr>
                <w:rFonts w:ascii="Times New Roman" w:hAnsi="Times New Roman"/>
                <w:b/>
                <w:sz w:val="17"/>
              </w:rPr>
              <w:t>54 clusters resolved</w:t>
            </w:r>
          </w:p>
        </w:tc>
      </w:tr>
      <w:tr>
        <w:tc>
          <w:tcPr>
            <w:tcW w:type="dxa" w:w="2340"/>
            <w:tcMar>
              <w:top w:w="100" w:type="dxa"/>
              <w:bottom w:w="100" w:type="dxa"/>
              <w:left w:w="150" w:type="dxa"/>
              <w:right w:w="150" w:type="dxa"/>
            </w:tcMar>
            <w:shd w:val="clear" w:color="auto" w:fill="F2F5F8"/>
          </w:tcPr>
          <w:p>
            <w:r>
              <w:rPr>
                <w:rFonts w:ascii="Times New Roman" w:hAnsi="Times New Roman"/>
                <w:b/>
                <w:sz w:val="17"/>
              </w:rPr>
              <w:t>Sub-Resolution Crops (&lt;224x224 px)</w:t>
            </w:r>
          </w:p>
        </w:tc>
        <w:tc>
          <w:tcPr>
            <w:tcW w:type="dxa" w:w="2340"/>
            <w:tcMar>
              <w:top w:w="100" w:type="dxa"/>
              <w:bottom w:w="100" w:type="dxa"/>
              <w:left w:w="150" w:type="dxa"/>
              <w:right w:w="150" w:type="dxa"/>
            </w:tcMar>
            <w:shd w:val="clear" w:color="auto" w:fill="F2F5F8"/>
          </w:tcPr>
          <w:p>
            <w:r>
              <w:rPr>
                <w:rFonts w:ascii="Times New Roman" w:hAnsi="Times New Roman"/>
                <w:sz w:val="17"/>
              </w:rPr>
              <w:t>148 (3.5%)</w:t>
            </w:r>
          </w:p>
        </w:tc>
        <w:tc>
          <w:tcPr>
            <w:tcW w:type="dxa" w:w="2340"/>
            <w:tcMar>
              <w:top w:w="100" w:type="dxa"/>
              <w:bottom w:w="100" w:type="dxa"/>
              <w:left w:w="150" w:type="dxa"/>
              <w:right w:w="150" w:type="dxa"/>
            </w:tcMar>
            <w:shd w:val="clear" w:color="auto" w:fill="F2F5F8"/>
          </w:tcPr>
          <w:p>
            <w:r>
              <w:rPr>
                <w:rFonts w:ascii="Times New Roman" w:hAnsi="Times New Roman"/>
                <w:sz w:val="17"/>
              </w:rPr>
              <w:t>1,282 (13.1%)</w:t>
            </w:r>
          </w:p>
        </w:tc>
        <w:tc>
          <w:tcPr>
            <w:tcW w:type="dxa" w:w="2340"/>
            <w:tcMar>
              <w:top w:w="100" w:type="dxa"/>
              <w:bottom w:w="100" w:type="dxa"/>
              <w:left w:w="150" w:type="dxa"/>
              <w:right w:w="150" w:type="dxa"/>
            </w:tcMar>
            <w:shd w:val="clear" w:color="auto" w:fill="F2F5F8"/>
          </w:tcPr>
          <w:p>
            <w:r>
              <w:rPr>
                <w:rFonts w:ascii="Times New Roman" w:hAnsi="Times New Roman"/>
                <w:b/>
                <w:sz w:val="17"/>
              </w:rPr>
              <w:t>1,430 (Enhanced via Bicubic)</w:t>
            </w:r>
          </w:p>
        </w:tc>
      </w:tr>
      <w:tr>
        <w:tc>
          <w:tcPr>
            <w:tcW w:type="dxa" w:w="2340"/>
            <w:tcMar>
              <w:top w:w="100" w:type="dxa"/>
              <w:bottom w:w="100" w:type="dxa"/>
              <w:left w:w="150" w:type="dxa"/>
              <w:right w:w="150" w:type="dxa"/>
            </w:tcMar>
          </w:tcPr>
          <w:p>
            <w:r>
              <w:rPr>
                <w:rFonts w:ascii="Times New Roman" w:hAnsi="Times New Roman"/>
                <w:b/>
                <w:sz w:val="17"/>
              </w:rPr>
              <w:t>Final Split: Train / Val / Frozen Test</w:t>
            </w:r>
          </w:p>
        </w:tc>
        <w:tc>
          <w:tcPr>
            <w:tcW w:type="dxa" w:w="2340"/>
            <w:tcMar>
              <w:top w:w="100" w:type="dxa"/>
              <w:bottom w:w="100" w:type="dxa"/>
              <w:left w:w="150" w:type="dxa"/>
              <w:right w:w="150" w:type="dxa"/>
            </w:tcMar>
          </w:tcPr>
          <w:p>
            <w:r>
              <w:rPr>
                <w:rFonts w:ascii="Times New Roman" w:hAnsi="Times New Roman"/>
                <w:sz w:val="17"/>
              </w:rPr>
              <w:t>-</w:t>
            </w:r>
          </w:p>
        </w:tc>
        <w:tc>
          <w:tcPr>
            <w:tcW w:type="dxa" w:w="2340"/>
            <w:tcMar>
              <w:top w:w="100" w:type="dxa"/>
              <w:bottom w:w="100" w:type="dxa"/>
              <w:left w:w="150" w:type="dxa"/>
              <w:right w:w="150" w:type="dxa"/>
            </w:tcMar>
          </w:tcPr>
          <w:p>
            <w:r>
              <w:rPr>
                <w:rFonts w:ascii="Times New Roman" w:hAnsi="Times New Roman"/>
                <w:sz w:val="17"/>
              </w:rPr>
              <w:t>-</w:t>
            </w:r>
          </w:p>
        </w:tc>
        <w:tc>
          <w:tcPr>
            <w:tcW w:type="dxa" w:w="2340"/>
            <w:tcMar>
              <w:top w:w="100" w:type="dxa"/>
              <w:bottom w:w="100" w:type="dxa"/>
              <w:left w:w="150" w:type="dxa"/>
              <w:right w:w="150" w:type="dxa"/>
            </w:tcMar>
          </w:tcPr>
          <w:p>
            <w:r>
              <w:rPr>
                <w:rFonts w:ascii="Times New Roman" w:hAnsi="Times New Roman"/>
                <w:b/>
                <w:sz w:val="17"/>
              </w:rPr>
              <w:t>7,490 / 1,605 / 1,606</w:t>
            </w:r>
          </w:p>
        </w:tc>
      </w:tr>
    </w:tbl>
    <w:p>
      <w:pPr>
        <w:spacing w:after="200" w:line="276" w:lineRule="auto"/>
        <w:jc w:val="both"/>
      </w:pPr>
      <w:r>
        <w:rPr>
          <w:rFonts w:ascii="Times New Roman" w:hAnsi="Times New Roman"/>
          <w:sz w:val="20"/>
        </w:rPr>
        <w:t>Table no 1 (10 Bold): Dataset Distribution, Deduplication Yields, and Resolution Metrics.</w:t>
      </w:r>
    </w:p>
    <w:p>
      <w:pPr>
        <w:spacing w:before="160" w:after="60"/>
      </w:pPr>
      <w:r>
        <w:rPr>
          <w:rFonts w:ascii="Times New Roman" w:hAnsi="Times New Roman"/>
          <w:b/>
          <w:color w:val="17365D"/>
          <w:sz w:val="20"/>
        </w:rPr>
        <w:t>3.2 Deep Learning Model Benchmark Comparison</w:t>
      </w:r>
    </w:p>
    <w:p>
      <w:pPr>
        <w:spacing w:after="120" w:line="276" w:lineRule="auto"/>
        <w:jc w:val="both"/>
      </w:pPr>
      <w:r>
        <w:rPr>
          <w:rFonts w:ascii="Times New Roman" w:hAnsi="Times New Roman"/>
          <w:sz w:val="20"/>
        </w:rPr>
        <w:t>Table 2 reports the performance comparison across five benchmarked deep learning backbones on the frozen test partition (N = 1,606).</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170"/>
        <w:gridCol w:w="1170"/>
        <w:gridCol w:w="1170"/>
        <w:gridCol w:w="1170"/>
        <w:gridCol w:w="1170"/>
        <w:gridCol w:w="1170"/>
        <w:gridCol w:w="1170"/>
        <w:gridCol w:w="1170"/>
      </w:tblGrid>
      <w:tr>
        <w:tc>
          <w:tcPr>
            <w:tcW w:type="dxa" w:w="1170"/>
            <w:shd w:val="clear" w:color="auto" w:fill="17365D"/>
            <w:tcMar>
              <w:top w:w="120" w:type="dxa"/>
              <w:bottom w:w="120" w:type="dxa"/>
              <w:left w:w="120" w:type="dxa"/>
              <w:right w:w="120" w:type="dxa"/>
            </w:tcMar>
          </w:tcPr>
          <w:p>
            <w:r>
              <w:rPr>
                <w:rFonts w:ascii="Times New Roman" w:hAnsi="Times New Roman"/>
                <w:b/>
                <w:color w:val="FFFFFF"/>
                <w:sz w:val="17"/>
              </w:rPr>
              <w:t>Model Backbone</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Params (M)</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Accuracy (%)</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Precision</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Recall</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F1-Score</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ROC-AUC</w:t>
            </w:r>
          </w:p>
        </w:tc>
        <w:tc>
          <w:tcPr>
            <w:tcW w:type="dxa" w:w="1170"/>
            <w:shd w:val="clear" w:color="auto" w:fill="17365D"/>
            <w:tcMar>
              <w:top w:w="120" w:type="dxa"/>
              <w:bottom w:w="120" w:type="dxa"/>
              <w:left w:w="120" w:type="dxa"/>
              <w:right w:w="120" w:type="dxa"/>
            </w:tcMar>
          </w:tcPr>
          <w:p>
            <w:r>
              <w:rPr>
                <w:rFonts w:ascii="Times New Roman" w:hAnsi="Times New Roman"/>
                <w:b/>
                <w:color w:val="FFFFFF"/>
                <w:sz w:val="17"/>
              </w:rPr>
              <w:t>Latency (ms)</w:t>
            </w:r>
          </w:p>
        </w:tc>
      </w:tr>
      <w:tr>
        <w:tc>
          <w:tcPr>
            <w:tcW w:type="dxa" w:w="1170"/>
            <w:tcMar>
              <w:top w:w="100" w:type="dxa"/>
              <w:bottom w:w="100" w:type="dxa"/>
              <w:left w:w="120" w:type="dxa"/>
              <w:right w:w="120" w:type="dxa"/>
            </w:tcMar>
          </w:tcPr>
          <w:p>
            <w:r>
              <w:rPr>
                <w:rFonts w:ascii="Times New Roman" w:hAnsi="Times New Roman"/>
                <w:b/>
                <w:sz w:val="17"/>
              </w:rPr>
              <w:t>MobileNetV3-Large</w:t>
            </w:r>
          </w:p>
        </w:tc>
        <w:tc>
          <w:tcPr>
            <w:tcW w:type="dxa" w:w="1170"/>
            <w:tcMar>
              <w:top w:w="100" w:type="dxa"/>
              <w:bottom w:w="100" w:type="dxa"/>
              <w:left w:w="120" w:type="dxa"/>
              <w:right w:w="120" w:type="dxa"/>
            </w:tcMar>
          </w:tcPr>
          <w:p>
            <w:r>
              <w:rPr>
                <w:rFonts w:ascii="Times New Roman" w:hAnsi="Times New Roman"/>
                <w:sz w:val="17"/>
              </w:rPr>
              <w:t>5.4</w:t>
            </w:r>
          </w:p>
        </w:tc>
        <w:tc>
          <w:tcPr>
            <w:tcW w:type="dxa" w:w="1170"/>
            <w:tcMar>
              <w:top w:w="100" w:type="dxa"/>
              <w:bottom w:w="100" w:type="dxa"/>
              <w:left w:w="120" w:type="dxa"/>
              <w:right w:w="120" w:type="dxa"/>
            </w:tcMar>
          </w:tcPr>
          <w:p>
            <w:r>
              <w:rPr>
                <w:rFonts w:ascii="Times New Roman" w:hAnsi="Times New Roman"/>
                <w:sz w:val="17"/>
              </w:rPr>
              <w:t>76.84</w:t>
            </w:r>
          </w:p>
        </w:tc>
        <w:tc>
          <w:tcPr>
            <w:tcW w:type="dxa" w:w="1170"/>
            <w:tcMar>
              <w:top w:w="100" w:type="dxa"/>
              <w:bottom w:w="100" w:type="dxa"/>
              <w:left w:w="120" w:type="dxa"/>
              <w:right w:w="120" w:type="dxa"/>
            </w:tcMar>
          </w:tcPr>
          <w:p>
            <w:r>
              <w:rPr>
                <w:rFonts w:ascii="Times New Roman" w:hAnsi="Times New Roman"/>
                <w:sz w:val="17"/>
              </w:rPr>
              <w:t>0.771</w:t>
            </w:r>
          </w:p>
        </w:tc>
        <w:tc>
          <w:tcPr>
            <w:tcW w:type="dxa" w:w="1170"/>
            <w:tcMar>
              <w:top w:w="100" w:type="dxa"/>
              <w:bottom w:w="100" w:type="dxa"/>
              <w:left w:w="120" w:type="dxa"/>
              <w:right w:w="120" w:type="dxa"/>
            </w:tcMar>
          </w:tcPr>
          <w:p>
            <w:r>
              <w:rPr>
                <w:rFonts w:ascii="Times New Roman" w:hAnsi="Times New Roman"/>
                <w:sz w:val="17"/>
              </w:rPr>
              <w:t>0.758</w:t>
            </w:r>
          </w:p>
        </w:tc>
        <w:tc>
          <w:tcPr>
            <w:tcW w:type="dxa" w:w="1170"/>
            <w:tcMar>
              <w:top w:w="100" w:type="dxa"/>
              <w:bottom w:w="100" w:type="dxa"/>
              <w:left w:w="120" w:type="dxa"/>
              <w:right w:w="120" w:type="dxa"/>
            </w:tcMar>
          </w:tcPr>
          <w:p>
            <w:r>
              <w:rPr>
                <w:rFonts w:ascii="Times New Roman" w:hAnsi="Times New Roman"/>
                <w:sz w:val="17"/>
              </w:rPr>
              <w:t>0.764</w:t>
            </w:r>
          </w:p>
        </w:tc>
        <w:tc>
          <w:tcPr>
            <w:tcW w:type="dxa" w:w="1170"/>
            <w:tcMar>
              <w:top w:w="100" w:type="dxa"/>
              <w:bottom w:w="100" w:type="dxa"/>
              <w:left w:w="120" w:type="dxa"/>
              <w:right w:w="120" w:type="dxa"/>
            </w:tcMar>
          </w:tcPr>
          <w:p>
            <w:r>
              <w:rPr>
                <w:rFonts w:ascii="Times New Roman" w:hAnsi="Times New Roman"/>
                <w:sz w:val="17"/>
              </w:rPr>
              <w:t>0.862</w:t>
            </w:r>
          </w:p>
        </w:tc>
        <w:tc>
          <w:tcPr>
            <w:tcW w:type="dxa" w:w="1170"/>
            <w:tcMar>
              <w:top w:w="100" w:type="dxa"/>
              <w:bottom w:w="100" w:type="dxa"/>
              <w:left w:w="120" w:type="dxa"/>
              <w:right w:w="120" w:type="dxa"/>
            </w:tcMar>
          </w:tcPr>
          <w:p>
            <w:r>
              <w:rPr>
                <w:rFonts w:ascii="Times New Roman" w:hAnsi="Times New Roman"/>
                <w:sz w:val="17"/>
              </w:rPr>
              <w:t>18.4</w:t>
            </w:r>
          </w:p>
        </w:tc>
      </w:tr>
      <w:tr>
        <w:tc>
          <w:tcPr>
            <w:tcW w:type="dxa" w:w="1170"/>
            <w:tcMar>
              <w:top w:w="100" w:type="dxa"/>
              <w:bottom w:w="100" w:type="dxa"/>
              <w:left w:w="120" w:type="dxa"/>
              <w:right w:w="120" w:type="dxa"/>
            </w:tcMar>
            <w:shd w:val="clear" w:color="auto" w:fill="F2F5F8"/>
          </w:tcPr>
          <w:p>
            <w:r>
              <w:rPr>
                <w:rFonts w:ascii="Times New Roman" w:hAnsi="Times New Roman"/>
                <w:b/>
                <w:sz w:val="17"/>
              </w:rPr>
              <w:t>ResNet-50</w:t>
            </w:r>
          </w:p>
        </w:tc>
        <w:tc>
          <w:tcPr>
            <w:tcW w:type="dxa" w:w="1170"/>
            <w:tcMar>
              <w:top w:w="100" w:type="dxa"/>
              <w:bottom w:w="100" w:type="dxa"/>
              <w:left w:w="120" w:type="dxa"/>
              <w:right w:w="120" w:type="dxa"/>
            </w:tcMar>
            <w:shd w:val="clear" w:color="auto" w:fill="F2F5F8"/>
          </w:tcPr>
          <w:p>
            <w:r>
              <w:rPr>
                <w:rFonts w:ascii="Times New Roman" w:hAnsi="Times New Roman"/>
                <w:sz w:val="17"/>
              </w:rPr>
              <w:t>25.6</w:t>
            </w:r>
          </w:p>
        </w:tc>
        <w:tc>
          <w:tcPr>
            <w:tcW w:type="dxa" w:w="1170"/>
            <w:tcMar>
              <w:top w:w="100" w:type="dxa"/>
              <w:bottom w:w="100" w:type="dxa"/>
              <w:left w:w="120" w:type="dxa"/>
              <w:right w:w="120" w:type="dxa"/>
            </w:tcMar>
            <w:shd w:val="clear" w:color="auto" w:fill="F2F5F8"/>
          </w:tcPr>
          <w:p>
            <w:r>
              <w:rPr>
                <w:rFonts w:ascii="Times New Roman" w:hAnsi="Times New Roman"/>
                <w:sz w:val="17"/>
              </w:rPr>
              <w:t>79.52</w:t>
            </w:r>
          </w:p>
        </w:tc>
        <w:tc>
          <w:tcPr>
            <w:tcW w:type="dxa" w:w="1170"/>
            <w:tcMar>
              <w:top w:w="100" w:type="dxa"/>
              <w:bottom w:w="100" w:type="dxa"/>
              <w:left w:w="120" w:type="dxa"/>
              <w:right w:w="120" w:type="dxa"/>
            </w:tcMar>
            <w:shd w:val="clear" w:color="auto" w:fill="F2F5F8"/>
          </w:tcPr>
          <w:p>
            <w:r>
              <w:rPr>
                <w:rFonts w:ascii="Times New Roman" w:hAnsi="Times New Roman"/>
                <w:sz w:val="17"/>
              </w:rPr>
              <w:t>0.804</w:t>
            </w:r>
          </w:p>
        </w:tc>
        <w:tc>
          <w:tcPr>
            <w:tcW w:type="dxa" w:w="1170"/>
            <w:tcMar>
              <w:top w:w="100" w:type="dxa"/>
              <w:bottom w:w="100" w:type="dxa"/>
              <w:left w:w="120" w:type="dxa"/>
              <w:right w:w="120" w:type="dxa"/>
            </w:tcMar>
            <w:shd w:val="clear" w:color="auto" w:fill="F2F5F8"/>
          </w:tcPr>
          <w:p>
            <w:r>
              <w:rPr>
                <w:rFonts w:ascii="Times New Roman" w:hAnsi="Times New Roman"/>
                <w:sz w:val="17"/>
              </w:rPr>
              <w:t>0.791</w:t>
            </w:r>
          </w:p>
        </w:tc>
        <w:tc>
          <w:tcPr>
            <w:tcW w:type="dxa" w:w="1170"/>
            <w:tcMar>
              <w:top w:w="100" w:type="dxa"/>
              <w:bottom w:w="100" w:type="dxa"/>
              <w:left w:w="120" w:type="dxa"/>
              <w:right w:w="120" w:type="dxa"/>
            </w:tcMar>
            <w:shd w:val="clear" w:color="auto" w:fill="F2F5F8"/>
          </w:tcPr>
          <w:p>
            <w:r>
              <w:rPr>
                <w:rFonts w:ascii="Times New Roman" w:hAnsi="Times New Roman"/>
                <w:sz w:val="17"/>
              </w:rPr>
              <w:t>0.797</w:t>
            </w:r>
          </w:p>
        </w:tc>
        <w:tc>
          <w:tcPr>
            <w:tcW w:type="dxa" w:w="1170"/>
            <w:tcMar>
              <w:top w:w="100" w:type="dxa"/>
              <w:bottom w:w="100" w:type="dxa"/>
              <w:left w:w="120" w:type="dxa"/>
              <w:right w:w="120" w:type="dxa"/>
            </w:tcMar>
            <w:shd w:val="clear" w:color="auto" w:fill="F2F5F8"/>
          </w:tcPr>
          <w:p>
            <w:r>
              <w:rPr>
                <w:rFonts w:ascii="Times New Roman" w:hAnsi="Times New Roman"/>
                <w:sz w:val="17"/>
              </w:rPr>
              <w:t>0.887</w:t>
            </w:r>
          </w:p>
        </w:tc>
        <w:tc>
          <w:tcPr>
            <w:tcW w:type="dxa" w:w="1170"/>
            <w:tcMar>
              <w:top w:w="100" w:type="dxa"/>
              <w:bottom w:w="100" w:type="dxa"/>
              <w:left w:w="120" w:type="dxa"/>
              <w:right w:w="120" w:type="dxa"/>
            </w:tcMar>
            <w:shd w:val="clear" w:color="auto" w:fill="F2F5F8"/>
          </w:tcPr>
          <w:p>
            <w:r>
              <w:rPr>
                <w:rFonts w:ascii="Times New Roman" w:hAnsi="Times New Roman"/>
                <w:sz w:val="17"/>
              </w:rPr>
              <w:t>64.2</w:t>
            </w:r>
          </w:p>
        </w:tc>
      </w:tr>
      <w:tr>
        <w:tc>
          <w:tcPr>
            <w:tcW w:type="dxa" w:w="1170"/>
            <w:tcMar>
              <w:top w:w="100" w:type="dxa"/>
              <w:bottom w:w="100" w:type="dxa"/>
              <w:left w:w="120" w:type="dxa"/>
              <w:right w:w="120" w:type="dxa"/>
            </w:tcMar>
          </w:tcPr>
          <w:p>
            <w:r>
              <w:rPr>
                <w:rFonts w:ascii="Times New Roman" w:hAnsi="Times New Roman"/>
                <w:b/>
                <w:sz w:val="17"/>
              </w:rPr>
              <w:t>DenseNet121</w:t>
            </w:r>
          </w:p>
        </w:tc>
        <w:tc>
          <w:tcPr>
            <w:tcW w:type="dxa" w:w="1170"/>
            <w:tcMar>
              <w:top w:w="100" w:type="dxa"/>
              <w:bottom w:w="100" w:type="dxa"/>
              <w:left w:w="120" w:type="dxa"/>
              <w:right w:w="120" w:type="dxa"/>
            </w:tcMar>
          </w:tcPr>
          <w:p>
            <w:r>
              <w:rPr>
                <w:rFonts w:ascii="Times New Roman" w:hAnsi="Times New Roman"/>
                <w:sz w:val="17"/>
              </w:rPr>
              <w:t>8.0</w:t>
            </w:r>
          </w:p>
        </w:tc>
        <w:tc>
          <w:tcPr>
            <w:tcW w:type="dxa" w:w="1170"/>
            <w:tcMar>
              <w:top w:w="100" w:type="dxa"/>
              <w:bottom w:w="100" w:type="dxa"/>
              <w:left w:w="120" w:type="dxa"/>
              <w:right w:w="120" w:type="dxa"/>
            </w:tcMar>
          </w:tcPr>
          <w:p>
            <w:r>
              <w:rPr>
                <w:rFonts w:ascii="Times New Roman" w:hAnsi="Times New Roman"/>
                <w:sz w:val="17"/>
              </w:rPr>
              <w:t>78.90</w:t>
            </w:r>
          </w:p>
        </w:tc>
        <w:tc>
          <w:tcPr>
            <w:tcW w:type="dxa" w:w="1170"/>
            <w:tcMar>
              <w:top w:w="100" w:type="dxa"/>
              <w:bottom w:w="100" w:type="dxa"/>
              <w:left w:w="120" w:type="dxa"/>
              <w:right w:w="120" w:type="dxa"/>
            </w:tcMar>
          </w:tcPr>
          <w:p>
            <w:r>
              <w:rPr>
                <w:rFonts w:ascii="Times New Roman" w:hAnsi="Times New Roman"/>
                <w:sz w:val="17"/>
              </w:rPr>
              <w:t>0.793</w:t>
            </w:r>
          </w:p>
        </w:tc>
        <w:tc>
          <w:tcPr>
            <w:tcW w:type="dxa" w:w="1170"/>
            <w:tcMar>
              <w:top w:w="100" w:type="dxa"/>
              <w:bottom w:w="100" w:type="dxa"/>
              <w:left w:w="120" w:type="dxa"/>
              <w:right w:w="120" w:type="dxa"/>
            </w:tcMar>
          </w:tcPr>
          <w:p>
            <w:r>
              <w:rPr>
                <w:rFonts w:ascii="Times New Roman" w:hAnsi="Times New Roman"/>
                <w:sz w:val="17"/>
              </w:rPr>
              <w:t>0.785</w:t>
            </w:r>
          </w:p>
        </w:tc>
        <w:tc>
          <w:tcPr>
            <w:tcW w:type="dxa" w:w="1170"/>
            <w:tcMar>
              <w:top w:w="100" w:type="dxa"/>
              <w:bottom w:w="100" w:type="dxa"/>
              <w:left w:w="120" w:type="dxa"/>
              <w:right w:w="120" w:type="dxa"/>
            </w:tcMar>
          </w:tcPr>
          <w:p>
            <w:r>
              <w:rPr>
                <w:rFonts w:ascii="Times New Roman" w:hAnsi="Times New Roman"/>
                <w:sz w:val="17"/>
              </w:rPr>
              <w:t>0.789</w:t>
            </w:r>
          </w:p>
        </w:tc>
        <w:tc>
          <w:tcPr>
            <w:tcW w:type="dxa" w:w="1170"/>
            <w:tcMar>
              <w:top w:w="100" w:type="dxa"/>
              <w:bottom w:w="100" w:type="dxa"/>
              <w:left w:w="120" w:type="dxa"/>
              <w:right w:w="120" w:type="dxa"/>
            </w:tcMar>
          </w:tcPr>
          <w:p>
            <w:r>
              <w:rPr>
                <w:rFonts w:ascii="Times New Roman" w:hAnsi="Times New Roman"/>
                <w:sz w:val="17"/>
              </w:rPr>
              <w:t>0.881</w:t>
            </w:r>
          </w:p>
        </w:tc>
        <w:tc>
          <w:tcPr>
            <w:tcW w:type="dxa" w:w="1170"/>
            <w:tcMar>
              <w:top w:w="100" w:type="dxa"/>
              <w:bottom w:w="100" w:type="dxa"/>
              <w:left w:w="120" w:type="dxa"/>
              <w:right w:w="120" w:type="dxa"/>
            </w:tcMar>
          </w:tcPr>
          <w:p>
            <w:r>
              <w:rPr>
                <w:rFonts w:ascii="Times New Roman" w:hAnsi="Times New Roman"/>
                <w:sz w:val="17"/>
              </w:rPr>
              <w:t>48.7</w:t>
            </w:r>
          </w:p>
        </w:tc>
      </w:tr>
      <w:tr>
        <w:tc>
          <w:tcPr>
            <w:tcW w:type="dxa" w:w="1170"/>
            <w:tcMar>
              <w:top w:w="100" w:type="dxa"/>
              <w:bottom w:w="100" w:type="dxa"/>
              <w:left w:w="120" w:type="dxa"/>
              <w:right w:w="120" w:type="dxa"/>
            </w:tcMar>
            <w:shd w:val="clear" w:color="auto" w:fill="F2F5F8"/>
          </w:tcPr>
          <w:p>
            <w:r>
              <w:rPr>
                <w:rFonts w:ascii="Times New Roman" w:hAnsi="Times New Roman"/>
                <w:b/>
                <w:sz w:val="17"/>
              </w:rPr>
              <w:t>EfficientNet-B4</w:t>
            </w:r>
          </w:p>
        </w:tc>
        <w:tc>
          <w:tcPr>
            <w:tcW w:type="dxa" w:w="1170"/>
            <w:tcMar>
              <w:top w:w="100" w:type="dxa"/>
              <w:bottom w:w="100" w:type="dxa"/>
              <w:left w:w="120" w:type="dxa"/>
              <w:right w:w="120" w:type="dxa"/>
            </w:tcMar>
            <w:shd w:val="clear" w:color="auto" w:fill="F2F5F8"/>
          </w:tcPr>
          <w:p>
            <w:r>
              <w:rPr>
                <w:rFonts w:ascii="Times New Roman" w:hAnsi="Times New Roman"/>
                <w:sz w:val="17"/>
              </w:rPr>
              <w:t>19.3</w:t>
            </w:r>
          </w:p>
        </w:tc>
        <w:tc>
          <w:tcPr>
            <w:tcW w:type="dxa" w:w="1170"/>
            <w:tcMar>
              <w:top w:w="100" w:type="dxa"/>
              <w:bottom w:w="100" w:type="dxa"/>
              <w:left w:w="120" w:type="dxa"/>
              <w:right w:w="120" w:type="dxa"/>
            </w:tcMar>
            <w:shd w:val="clear" w:color="auto" w:fill="F2F5F8"/>
          </w:tcPr>
          <w:p>
            <w:r>
              <w:rPr>
                <w:rFonts w:ascii="Times New Roman" w:hAnsi="Times New Roman"/>
                <w:sz w:val="17"/>
              </w:rPr>
              <w:t>81.15</w:t>
            </w:r>
          </w:p>
        </w:tc>
        <w:tc>
          <w:tcPr>
            <w:tcW w:type="dxa" w:w="1170"/>
            <w:tcMar>
              <w:top w:w="100" w:type="dxa"/>
              <w:bottom w:w="100" w:type="dxa"/>
              <w:left w:w="120" w:type="dxa"/>
              <w:right w:w="120" w:type="dxa"/>
            </w:tcMar>
            <w:shd w:val="clear" w:color="auto" w:fill="F2F5F8"/>
          </w:tcPr>
          <w:p>
            <w:r>
              <w:rPr>
                <w:rFonts w:ascii="Times New Roman" w:hAnsi="Times New Roman"/>
                <w:sz w:val="17"/>
              </w:rPr>
              <w:t>0.822</w:t>
            </w:r>
          </w:p>
        </w:tc>
        <w:tc>
          <w:tcPr>
            <w:tcW w:type="dxa" w:w="1170"/>
            <w:tcMar>
              <w:top w:w="100" w:type="dxa"/>
              <w:bottom w:w="100" w:type="dxa"/>
              <w:left w:w="120" w:type="dxa"/>
              <w:right w:w="120" w:type="dxa"/>
            </w:tcMar>
            <w:shd w:val="clear" w:color="auto" w:fill="F2F5F8"/>
          </w:tcPr>
          <w:p>
            <w:r>
              <w:rPr>
                <w:rFonts w:ascii="Times New Roman" w:hAnsi="Times New Roman"/>
                <w:sz w:val="17"/>
              </w:rPr>
              <w:t>0.814</w:t>
            </w:r>
          </w:p>
        </w:tc>
        <w:tc>
          <w:tcPr>
            <w:tcW w:type="dxa" w:w="1170"/>
            <w:tcMar>
              <w:top w:w="100" w:type="dxa"/>
              <w:bottom w:w="100" w:type="dxa"/>
              <w:left w:w="120" w:type="dxa"/>
              <w:right w:w="120" w:type="dxa"/>
            </w:tcMar>
            <w:shd w:val="clear" w:color="auto" w:fill="F2F5F8"/>
          </w:tcPr>
          <w:p>
            <w:r>
              <w:rPr>
                <w:rFonts w:ascii="Times New Roman" w:hAnsi="Times New Roman"/>
                <w:sz w:val="17"/>
              </w:rPr>
              <w:t>0.818</w:t>
            </w:r>
          </w:p>
        </w:tc>
        <w:tc>
          <w:tcPr>
            <w:tcW w:type="dxa" w:w="1170"/>
            <w:tcMar>
              <w:top w:w="100" w:type="dxa"/>
              <w:bottom w:w="100" w:type="dxa"/>
              <w:left w:w="120" w:type="dxa"/>
              <w:right w:w="120" w:type="dxa"/>
            </w:tcMar>
            <w:shd w:val="clear" w:color="auto" w:fill="F2F5F8"/>
          </w:tcPr>
          <w:p>
            <w:r>
              <w:rPr>
                <w:rFonts w:ascii="Times New Roman" w:hAnsi="Times New Roman"/>
                <w:sz w:val="17"/>
              </w:rPr>
              <w:t>0.909</w:t>
            </w:r>
          </w:p>
        </w:tc>
        <w:tc>
          <w:tcPr>
            <w:tcW w:type="dxa" w:w="1170"/>
            <w:tcMar>
              <w:top w:w="100" w:type="dxa"/>
              <w:bottom w:w="100" w:type="dxa"/>
              <w:left w:w="120" w:type="dxa"/>
              <w:right w:w="120" w:type="dxa"/>
            </w:tcMar>
            <w:shd w:val="clear" w:color="auto" w:fill="F2F5F8"/>
          </w:tcPr>
          <w:p>
            <w:r>
              <w:rPr>
                <w:rFonts w:ascii="Times New Roman" w:hAnsi="Times New Roman"/>
                <w:sz w:val="17"/>
              </w:rPr>
              <w:t>82.5</w:t>
            </w:r>
          </w:p>
        </w:tc>
      </w:tr>
      <w:tr>
        <w:tc>
          <w:tcPr>
            <w:tcW w:type="dxa" w:w="1170"/>
            <w:tcMar>
              <w:top w:w="100" w:type="dxa"/>
              <w:bottom w:w="100" w:type="dxa"/>
              <w:left w:w="120" w:type="dxa"/>
              <w:right w:w="120" w:type="dxa"/>
            </w:tcMar>
            <w:shd w:val="clear" w:color="auto" w:fill="EBF1F5"/>
          </w:tcPr>
          <w:p>
            <w:r>
              <w:rPr>
                <w:rFonts w:ascii="Times New Roman" w:hAnsi="Times New Roman"/>
                <w:b/>
                <w:sz w:val="17"/>
              </w:rPr>
              <w:t>EfficientNet-B0 (Ours)</w:t>
            </w:r>
          </w:p>
        </w:tc>
        <w:tc>
          <w:tcPr>
            <w:tcW w:type="dxa" w:w="1170"/>
            <w:tcMar>
              <w:top w:w="100" w:type="dxa"/>
              <w:bottom w:w="100" w:type="dxa"/>
              <w:left w:w="120" w:type="dxa"/>
              <w:right w:w="120" w:type="dxa"/>
            </w:tcMar>
            <w:shd w:val="clear" w:color="auto" w:fill="EBF1F5"/>
          </w:tcPr>
          <w:p>
            <w:r>
              <w:rPr>
                <w:rFonts w:ascii="Times New Roman" w:hAnsi="Times New Roman"/>
                <w:b/>
                <w:sz w:val="17"/>
              </w:rPr>
              <w:t>5.3</w:t>
            </w:r>
          </w:p>
        </w:tc>
        <w:tc>
          <w:tcPr>
            <w:tcW w:type="dxa" w:w="1170"/>
            <w:tcMar>
              <w:top w:w="100" w:type="dxa"/>
              <w:bottom w:w="100" w:type="dxa"/>
              <w:left w:w="120" w:type="dxa"/>
              <w:right w:w="120" w:type="dxa"/>
            </w:tcMar>
            <w:shd w:val="clear" w:color="auto" w:fill="EBF1F5"/>
          </w:tcPr>
          <w:p>
            <w:r>
              <w:rPr>
                <w:rFonts w:ascii="Times New Roman" w:hAnsi="Times New Roman"/>
                <w:b/>
                <w:sz w:val="17"/>
              </w:rPr>
              <w:t>81.42</w:t>
            </w:r>
          </w:p>
        </w:tc>
        <w:tc>
          <w:tcPr>
            <w:tcW w:type="dxa" w:w="1170"/>
            <w:tcMar>
              <w:top w:w="100" w:type="dxa"/>
              <w:bottom w:w="100" w:type="dxa"/>
              <w:left w:w="120" w:type="dxa"/>
              <w:right w:w="120" w:type="dxa"/>
            </w:tcMar>
            <w:shd w:val="clear" w:color="auto" w:fill="EBF1F5"/>
          </w:tcPr>
          <w:p>
            <w:r>
              <w:rPr>
                <w:rFonts w:ascii="Times New Roman" w:hAnsi="Times New Roman"/>
                <w:b/>
                <w:sz w:val="17"/>
              </w:rPr>
              <w:t>0.826</w:t>
            </w:r>
          </w:p>
        </w:tc>
        <w:tc>
          <w:tcPr>
            <w:tcW w:type="dxa" w:w="1170"/>
            <w:tcMar>
              <w:top w:w="100" w:type="dxa"/>
              <w:bottom w:w="100" w:type="dxa"/>
              <w:left w:w="120" w:type="dxa"/>
              <w:right w:w="120" w:type="dxa"/>
            </w:tcMar>
            <w:shd w:val="clear" w:color="auto" w:fill="EBF1F5"/>
          </w:tcPr>
          <w:p>
            <w:r>
              <w:rPr>
                <w:rFonts w:ascii="Times New Roman" w:hAnsi="Times New Roman"/>
                <w:b/>
                <w:sz w:val="17"/>
              </w:rPr>
              <w:t>0.819</w:t>
            </w:r>
          </w:p>
        </w:tc>
        <w:tc>
          <w:tcPr>
            <w:tcW w:type="dxa" w:w="1170"/>
            <w:tcMar>
              <w:top w:w="100" w:type="dxa"/>
              <w:bottom w:w="100" w:type="dxa"/>
              <w:left w:w="120" w:type="dxa"/>
              <w:right w:w="120" w:type="dxa"/>
            </w:tcMar>
            <w:shd w:val="clear" w:color="auto" w:fill="EBF1F5"/>
          </w:tcPr>
          <w:p>
            <w:r>
              <w:rPr>
                <w:rFonts w:ascii="Times New Roman" w:hAnsi="Times New Roman"/>
                <w:b/>
                <w:sz w:val="17"/>
              </w:rPr>
              <w:t>0.822</w:t>
            </w:r>
          </w:p>
        </w:tc>
        <w:tc>
          <w:tcPr>
            <w:tcW w:type="dxa" w:w="1170"/>
            <w:tcMar>
              <w:top w:w="100" w:type="dxa"/>
              <w:bottom w:w="100" w:type="dxa"/>
              <w:left w:w="120" w:type="dxa"/>
              <w:right w:w="120" w:type="dxa"/>
            </w:tcMar>
            <w:shd w:val="clear" w:color="auto" w:fill="EBF1F5"/>
          </w:tcPr>
          <w:p>
            <w:r>
              <w:rPr>
                <w:rFonts w:ascii="Times New Roman" w:hAnsi="Times New Roman"/>
                <w:b/>
                <w:sz w:val="17"/>
              </w:rPr>
              <w:t>0.914</w:t>
            </w:r>
          </w:p>
        </w:tc>
        <w:tc>
          <w:tcPr>
            <w:tcW w:type="dxa" w:w="1170"/>
            <w:tcMar>
              <w:top w:w="100" w:type="dxa"/>
              <w:bottom w:w="100" w:type="dxa"/>
              <w:left w:w="120" w:type="dxa"/>
              <w:right w:w="120" w:type="dxa"/>
            </w:tcMar>
            <w:shd w:val="clear" w:color="auto" w:fill="EBF1F5"/>
          </w:tcPr>
          <w:p>
            <w:r>
              <w:rPr>
                <w:rFonts w:ascii="Times New Roman" w:hAnsi="Times New Roman"/>
                <w:b/>
                <w:sz w:val="17"/>
              </w:rPr>
              <w:t>41.6</w:t>
            </w:r>
          </w:p>
        </w:tc>
      </w:tr>
    </w:tbl>
    <w:p>
      <w:pPr>
        <w:spacing w:after="200" w:line="276" w:lineRule="auto"/>
        <w:jc w:val="both"/>
      </w:pPr>
      <w:r>
        <w:rPr>
          <w:rFonts w:ascii="Times New Roman" w:hAnsi="Times New Roman"/>
          <w:sz w:val="20"/>
        </w:rPr>
        <w:t>Table no 2 (10 Bold): Comparative Performance Benchmarking Across Deep Learning Backbones.</w:t>
      </w:r>
    </w:p>
    <w:p>
      <w:pPr>
        <w:spacing w:before="160" w:after="60"/>
      </w:pPr>
      <w:r>
        <w:rPr>
          <w:rFonts w:ascii="Times New Roman" w:hAnsi="Times New Roman"/>
          <w:b/>
          <w:color w:val="17365D"/>
          <w:sz w:val="20"/>
        </w:rPr>
        <w:t>3.3 Empirical Impact of Data Leakage (Ablation Analysis)</w:t>
      </w:r>
    </w:p>
    <w:p>
      <w:pPr>
        <w:spacing w:after="120" w:line="276" w:lineRule="auto"/>
        <w:jc w:val="both"/>
      </w:pPr>
      <w:r>
        <w:rPr>
          <w:rFonts w:ascii="Times New Roman" w:hAnsi="Times New Roman"/>
          <w:sz w:val="20"/>
        </w:rPr>
        <w:t>To validate the data leakage hypothesis, we compared model performance under a naive uncleaned random split versus the leak-free frozen perceptual hash partition.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1872"/>
            <w:shd w:val="clear" w:color="auto" w:fill="17365D"/>
            <w:tcMar>
              <w:top w:w="120" w:type="dxa"/>
              <w:bottom w:w="120" w:type="dxa"/>
              <w:left w:w="140" w:type="dxa"/>
              <w:right w:w="140" w:type="dxa"/>
            </w:tcMar>
          </w:tcPr>
          <w:p>
            <w:r>
              <w:rPr>
                <w:rFonts w:ascii="Times New Roman" w:hAnsi="Times New Roman"/>
                <w:b/>
                <w:color w:val="FFFFFF"/>
                <w:sz w:val="18"/>
              </w:rPr>
              <w:t>Experimental Setup</w:t>
            </w:r>
          </w:p>
        </w:tc>
        <w:tc>
          <w:tcPr>
            <w:tcW w:type="dxa" w:w="1872"/>
            <w:shd w:val="clear" w:color="auto" w:fill="17365D"/>
            <w:tcMar>
              <w:top w:w="120" w:type="dxa"/>
              <w:bottom w:w="120" w:type="dxa"/>
              <w:left w:w="140" w:type="dxa"/>
              <w:right w:w="140" w:type="dxa"/>
            </w:tcMar>
          </w:tcPr>
          <w:p>
            <w:r>
              <w:rPr>
                <w:rFonts w:ascii="Times New Roman" w:hAnsi="Times New Roman"/>
                <w:b/>
                <w:color w:val="FFFFFF"/>
                <w:sz w:val="18"/>
              </w:rPr>
              <w:t>Split Strategy</w:t>
            </w:r>
          </w:p>
        </w:tc>
        <w:tc>
          <w:tcPr>
            <w:tcW w:type="dxa" w:w="1872"/>
            <w:shd w:val="clear" w:color="auto" w:fill="17365D"/>
            <w:tcMar>
              <w:top w:w="120" w:type="dxa"/>
              <w:bottom w:w="120" w:type="dxa"/>
              <w:left w:w="140" w:type="dxa"/>
              <w:right w:w="140" w:type="dxa"/>
            </w:tcMar>
          </w:tcPr>
          <w:p>
            <w:r>
              <w:rPr>
                <w:rFonts w:ascii="Times New Roman" w:hAnsi="Times New Roman"/>
                <w:b/>
                <w:color w:val="FFFFFF"/>
                <w:sz w:val="18"/>
              </w:rPr>
              <w:t>Apparent Test Acc (%)</w:t>
            </w:r>
          </w:p>
        </w:tc>
        <w:tc>
          <w:tcPr>
            <w:tcW w:type="dxa" w:w="1872"/>
            <w:shd w:val="clear" w:color="auto" w:fill="17365D"/>
            <w:tcMar>
              <w:top w:w="120" w:type="dxa"/>
              <w:bottom w:w="120" w:type="dxa"/>
              <w:left w:w="140" w:type="dxa"/>
              <w:right w:w="140" w:type="dxa"/>
            </w:tcMar>
          </w:tcPr>
          <w:p>
            <w:r>
              <w:rPr>
                <w:rFonts w:ascii="Times New Roman" w:hAnsi="Times New Roman"/>
                <w:b/>
                <w:color w:val="FFFFFF"/>
                <w:sz w:val="18"/>
              </w:rPr>
              <w:t>Honest Unique Test Acc (%)</w:t>
            </w:r>
          </w:p>
        </w:tc>
        <w:tc>
          <w:tcPr>
            <w:tcW w:type="dxa" w:w="1872"/>
            <w:shd w:val="clear" w:color="auto" w:fill="17365D"/>
            <w:tcMar>
              <w:top w:w="120" w:type="dxa"/>
              <w:bottom w:w="120" w:type="dxa"/>
              <w:left w:w="140" w:type="dxa"/>
              <w:right w:w="140" w:type="dxa"/>
            </w:tcMar>
          </w:tcPr>
          <w:p>
            <w:r>
              <w:rPr>
                <w:rFonts w:ascii="Times New Roman" w:hAnsi="Times New Roman"/>
                <w:b/>
                <w:color w:val="FFFFFF"/>
                <w:sz w:val="18"/>
              </w:rPr>
              <w:t>Leakage Bias</w:t>
            </w:r>
          </w:p>
        </w:tc>
      </w:tr>
      <w:tr>
        <w:tc>
          <w:tcPr>
            <w:tcW w:type="dxa" w:w="1872"/>
            <w:tcMar>
              <w:top w:w="100" w:type="dxa"/>
              <w:bottom w:w="100" w:type="dxa"/>
              <w:left w:w="140" w:type="dxa"/>
              <w:right w:w="140" w:type="dxa"/>
            </w:tcMar>
          </w:tcPr>
          <w:p>
            <w:r>
              <w:rPr>
                <w:rFonts w:ascii="Times New Roman" w:hAnsi="Times New Roman"/>
                <w:b/>
                <w:sz w:val="17"/>
              </w:rPr>
              <w:t>Naive Random Baseline</w:t>
            </w:r>
          </w:p>
        </w:tc>
        <w:tc>
          <w:tcPr>
            <w:tcW w:type="dxa" w:w="1872"/>
            <w:tcMar>
              <w:top w:w="100" w:type="dxa"/>
              <w:bottom w:w="100" w:type="dxa"/>
              <w:left w:w="140" w:type="dxa"/>
              <w:right w:w="140" w:type="dxa"/>
            </w:tcMar>
          </w:tcPr>
          <w:p>
            <w:r>
              <w:rPr>
                <w:rFonts w:ascii="Times New Roman" w:hAnsi="Times New Roman"/>
                <w:sz w:val="17"/>
              </w:rPr>
              <w:t>Uncleaned Random 80/20</w:t>
            </w:r>
          </w:p>
        </w:tc>
        <w:tc>
          <w:tcPr>
            <w:tcW w:type="dxa" w:w="1872"/>
            <w:tcMar>
              <w:top w:w="100" w:type="dxa"/>
              <w:bottom w:w="100" w:type="dxa"/>
              <w:left w:w="140" w:type="dxa"/>
              <w:right w:w="140" w:type="dxa"/>
            </w:tcMar>
          </w:tcPr>
          <w:p>
            <w:r>
              <w:rPr>
                <w:rFonts w:ascii="Times New Roman" w:hAnsi="Times New Roman"/>
                <w:sz w:val="17"/>
              </w:rPr>
              <w:t>88.35%</w:t>
            </w:r>
          </w:p>
        </w:tc>
        <w:tc>
          <w:tcPr>
            <w:tcW w:type="dxa" w:w="1872"/>
            <w:tcMar>
              <w:top w:w="100" w:type="dxa"/>
              <w:bottom w:w="100" w:type="dxa"/>
              <w:left w:w="140" w:type="dxa"/>
              <w:right w:w="140" w:type="dxa"/>
            </w:tcMar>
          </w:tcPr>
          <w:p>
            <w:r>
              <w:rPr>
                <w:rFonts w:ascii="Times New Roman" w:hAnsi="Times New Roman"/>
                <w:sz w:val="17"/>
              </w:rPr>
              <w:t>71.20%</w:t>
            </w:r>
          </w:p>
        </w:tc>
        <w:tc>
          <w:tcPr>
            <w:tcW w:type="dxa" w:w="1872"/>
            <w:tcMar>
              <w:top w:w="100" w:type="dxa"/>
              <w:bottom w:w="100" w:type="dxa"/>
              <w:left w:w="140" w:type="dxa"/>
              <w:right w:w="140" w:type="dxa"/>
            </w:tcMar>
          </w:tcPr>
          <w:p>
            <w:r>
              <w:rPr>
                <w:rFonts w:ascii="Times New Roman" w:hAnsi="Times New Roman"/>
                <w:sz w:val="17"/>
              </w:rPr>
              <w:t>+17.15% (Artifactual)</w:t>
            </w:r>
          </w:p>
        </w:tc>
      </w:tr>
      <w:tr>
        <w:tc>
          <w:tcPr>
            <w:tcW w:type="dxa" w:w="1872"/>
            <w:tcMar>
              <w:top w:w="100" w:type="dxa"/>
              <w:bottom w:w="100" w:type="dxa"/>
              <w:left w:w="140" w:type="dxa"/>
              <w:right w:w="140" w:type="dxa"/>
            </w:tcMar>
            <w:shd w:val="clear" w:color="auto" w:fill="F2F5F8"/>
          </w:tcPr>
          <w:p>
            <w:r>
              <w:rPr>
                <w:rFonts w:ascii="Times New Roman" w:hAnsi="Times New Roman"/>
                <w:b/>
                <w:sz w:val="17"/>
              </w:rPr>
              <w:t>Shen et al. Benchmark [10]</w:t>
            </w:r>
          </w:p>
        </w:tc>
        <w:tc>
          <w:tcPr>
            <w:tcW w:type="dxa" w:w="1872"/>
            <w:tcMar>
              <w:top w:w="100" w:type="dxa"/>
              <w:bottom w:w="100" w:type="dxa"/>
              <w:left w:w="140" w:type="dxa"/>
              <w:right w:w="140" w:type="dxa"/>
            </w:tcMar>
            <w:shd w:val="clear" w:color="auto" w:fill="F2F5F8"/>
          </w:tcPr>
          <w:p>
            <w:r>
              <w:rPr>
                <w:rFonts w:ascii="Times New Roman" w:hAnsi="Times New Roman"/>
                <w:sz w:val="17"/>
              </w:rPr>
              <w:t>Roboflow Leaky vs Unique</w:t>
            </w:r>
          </w:p>
        </w:tc>
        <w:tc>
          <w:tcPr>
            <w:tcW w:type="dxa" w:w="1872"/>
            <w:tcMar>
              <w:top w:w="100" w:type="dxa"/>
              <w:bottom w:w="100" w:type="dxa"/>
              <w:left w:w="140" w:type="dxa"/>
              <w:right w:w="140" w:type="dxa"/>
            </w:tcMar>
            <w:shd w:val="clear" w:color="auto" w:fill="F2F5F8"/>
          </w:tcPr>
          <w:p>
            <w:r>
              <w:rPr>
                <w:rFonts w:ascii="Times New Roman" w:hAnsi="Times New Roman"/>
                <w:sz w:val="17"/>
              </w:rPr>
              <w:t>74.68%</w:t>
            </w:r>
          </w:p>
        </w:tc>
        <w:tc>
          <w:tcPr>
            <w:tcW w:type="dxa" w:w="1872"/>
            <w:tcMar>
              <w:top w:w="100" w:type="dxa"/>
              <w:bottom w:w="100" w:type="dxa"/>
              <w:left w:w="140" w:type="dxa"/>
              <w:right w:w="140" w:type="dxa"/>
            </w:tcMar>
            <w:shd w:val="clear" w:color="auto" w:fill="F2F5F8"/>
          </w:tcPr>
          <w:p>
            <w:r>
              <w:rPr>
                <w:rFonts w:ascii="Times New Roman" w:hAnsi="Times New Roman"/>
                <w:sz w:val="17"/>
              </w:rPr>
              <w:t>66.76%</w:t>
            </w:r>
          </w:p>
        </w:tc>
        <w:tc>
          <w:tcPr>
            <w:tcW w:type="dxa" w:w="1872"/>
            <w:tcMar>
              <w:top w:w="100" w:type="dxa"/>
              <w:bottom w:w="100" w:type="dxa"/>
              <w:left w:w="140" w:type="dxa"/>
              <w:right w:w="140" w:type="dxa"/>
            </w:tcMar>
            <w:shd w:val="clear" w:color="auto" w:fill="F2F5F8"/>
          </w:tcPr>
          <w:p>
            <w:r>
              <w:rPr>
                <w:rFonts w:ascii="Times New Roman" w:hAnsi="Times New Roman"/>
                <w:sz w:val="17"/>
              </w:rPr>
              <w:t>+7.92% (Artifactual)</w:t>
            </w:r>
          </w:p>
        </w:tc>
      </w:tr>
      <w:tr>
        <w:tc>
          <w:tcPr>
            <w:tcW w:type="dxa" w:w="1872"/>
            <w:tcMar>
              <w:top w:w="100" w:type="dxa"/>
              <w:bottom w:w="100" w:type="dxa"/>
              <w:left w:w="140" w:type="dxa"/>
              <w:right w:w="140" w:type="dxa"/>
            </w:tcMar>
            <w:shd w:val="clear" w:color="auto" w:fill="EBF1F5"/>
          </w:tcPr>
          <w:p>
            <w:r>
              <w:rPr>
                <w:rFonts w:ascii="Times New Roman" w:hAnsi="Times New Roman"/>
                <w:b/>
                <w:sz w:val="17"/>
              </w:rPr>
              <w:t>DermaNova Framework</w:t>
            </w:r>
          </w:p>
        </w:tc>
        <w:tc>
          <w:tcPr>
            <w:tcW w:type="dxa" w:w="1872"/>
            <w:tcMar>
              <w:top w:w="100" w:type="dxa"/>
              <w:bottom w:w="100" w:type="dxa"/>
              <w:left w:w="140" w:type="dxa"/>
              <w:right w:w="140" w:type="dxa"/>
            </w:tcMar>
            <w:shd w:val="clear" w:color="auto" w:fill="EBF1F5"/>
          </w:tcPr>
          <w:p>
            <w:r>
              <w:rPr>
                <w:rFonts w:ascii="Times New Roman" w:hAnsi="Times New Roman"/>
                <w:b/>
                <w:sz w:val="17"/>
              </w:rPr>
              <w:t>Frozen pHash Lock</w:t>
            </w:r>
          </w:p>
        </w:tc>
        <w:tc>
          <w:tcPr>
            <w:tcW w:type="dxa" w:w="1872"/>
            <w:tcMar>
              <w:top w:w="100" w:type="dxa"/>
              <w:bottom w:w="100" w:type="dxa"/>
              <w:left w:w="140" w:type="dxa"/>
              <w:right w:w="140" w:type="dxa"/>
            </w:tcMar>
            <w:shd w:val="clear" w:color="auto" w:fill="EBF1F5"/>
          </w:tcPr>
          <w:p>
            <w:r>
              <w:rPr>
                <w:rFonts w:ascii="Times New Roman" w:hAnsi="Times New Roman"/>
                <w:b/>
                <w:sz w:val="17"/>
              </w:rPr>
              <w:t>81.42%</w:t>
            </w:r>
          </w:p>
        </w:tc>
        <w:tc>
          <w:tcPr>
            <w:tcW w:type="dxa" w:w="1872"/>
            <w:tcMar>
              <w:top w:w="100" w:type="dxa"/>
              <w:bottom w:w="100" w:type="dxa"/>
              <w:left w:w="140" w:type="dxa"/>
              <w:right w:w="140" w:type="dxa"/>
            </w:tcMar>
            <w:shd w:val="clear" w:color="auto" w:fill="EBF1F5"/>
          </w:tcPr>
          <w:p>
            <w:r>
              <w:rPr>
                <w:rFonts w:ascii="Times New Roman" w:hAnsi="Times New Roman"/>
                <w:b/>
                <w:sz w:val="17"/>
              </w:rPr>
              <w:t>81.42%</w:t>
            </w:r>
          </w:p>
        </w:tc>
        <w:tc>
          <w:tcPr>
            <w:tcW w:type="dxa" w:w="1872"/>
            <w:tcMar>
              <w:top w:w="100" w:type="dxa"/>
              <w:bottom w:w="100" w:type="dxa"/>
              <w:left w:w="140" w:type="dxa"/>
              <w:right w:w="140" w:type="dxa"/>
            </w:tcMar>
            <w:shd w:val="clear" w:color="auto" w:fill="EBF1F5"/>
          </w:tcPr>
          <w:p>
            <w:r>
              <w:rPr>
                <w:rFonts w:ascii="Times New Roman" w:hAnsi="Times New Roman"/>
                <w:b/>
                <w:sz w:val="17"/>
              </w:rPr>
              <w:t>0.00% (Honest Metric)</w:t>
            </w:r>
          </w:p>
        </w:tc>
      </w:tr>
    </w:tbl>
    <w:p>
      <w:pPr>
        <w:spacing w:after="200" w:line="276" w:lineRule="auto"/>
        <w:jc w:val="both"/>
      </w:pPr>
      <w:r>
        <w:rPr>
          <w:rFonts w:ascii="Times New Roman" w:hAnsi="Times New Roman"/>
          <w:sz w:val="20"/>
        </w:rPr>
        <w:t>Table no 3 (10 Bold): Empirical Impact of Data Leakage on Model Validation.</w:t>
      </w:r>
    </w:p>
    <w:p>
      <w:pPr>
        <w:spacing w:before="160" w:after="60"/>
      </w:pPr>
      <w:r>
        <w:rPr>
          <w:rFonts w:ascii="Times New Roman" w:hAnsi="Times New Roman"/>
          <w:b/>
          <w:color w:val="17365D"/>
          <w:sz w:val="20"/>
        </w:rPr>
        <w:t>3.4 Multi-Label Condition Metrics Across 8 Harmonized Classes</w:t>
      </w:r>
    </w:p>
    <w:p>
      <w:pPr>
        <w:spacing w:after="120" w:line="276" w:lineRule="auto"/>
        <w:jc w:val="both"/>
      </w:pPr>
      <w:r>
        <w:rPr>
          <w:rFonts w:ascii="Times New Roman" w:hAnsi="Times New Roman"/>
          <w:sz w:val="20"/>
        </w:rPr>
        <w:t>Table 4 outlines condition-specific diagnostic metrics for the optimal EfficientNet-B0 model across all 8 target conditions.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17365D"/>
            <w:tcMar>
              <w:top w:w="120" w:type="dxa"/>
              <w:bottom w:w="120" w:type="dxa"/>
              <w:left w:w="140" w:type="dxa"/>
              <w:right w:w="140" w:type="dxa"/>
            </w:tcMar>
          </w:tcPr>
          <w:p>
            <w:r>
              <w:rPr>
                <w:rFonts w:ascii="Times New Roman" w:hAnsi="Times New Roman"/>
                <w:b/>
                <w:color w:val="FFFFFF"/>
                <w:sz w:val="18"/>
              </w:rPr>
              <w:t>Dermatological Condition</w:t>
            </w:r>
          </w:p>
        </w:tc>
        <w:tc>
          <w:tcPr>
            <w:tcW w:type="dxa" w:w="1560"/>
            <w:shd w:val="clear" w:color="auto" w:fill="17365D"/>
            <w:tcMar>
              <w:top w:w="120" w:type="dxa"/>
              <w:bottom w:w="120" w:type="dxa"/>
              <w:left w:w="140" w:type="dxa"/>
              <w:right w:w="140" w:type="dxa"/>
            </w:tcMar>
          </w:tcPr>
          <w:p>
            <w:r>
              <w:rPr>
                <w:rFonts w:ascii="Times New Roman" w:hAnsi="Times New Roman"/>
                <w:b/>
                <w:color w:val="FFFFFF"/>
                <w:sz w:val="18"/>
              </w:rPr>
              <w:t>Test Support (N)</w:t>
            </w:r>
          </w:p>
        </w:tc>
        <w:tc>
          <w:tcPr>
            <w:tcW w:type="dxa" w:w="1560"/>
            <w:shd w:val="clear" w:color="auto" w:fill="17365D"/>
            <w:tcMar>
              <w:top w:w="120" w:type="dxa"/>
              <w:bottom w:w="120" w:type="dxa"/>
              <w:left w:w="140" w:type="dxa"/>
              <w:right w:w="140" w:type="dxa"/>
            </w:tcMar>
          </w:tcPr>
          <w:p>
            <w:r>
              <w:rPr>
                <w:rFonts w:ascii="Times New Roman" w:hAnsi="Times New Roman"/>
                <w:b/>
                <w:color w:val="FFFFFF"/>
                <w:sz w:val="18"/>
              </w:rPr>
              <w:t>Precision</w:t>
            </w:r>
          </w:p>
        </w:tc>
        <w:tc>
          <w:tcPr>
            <w:tcW w:type="dxa" w:w="1560"/>
            <w:shd w:val="clear" w:color="auto" w:fill="17365D"/>
            <w:tcMar>
              <w:top w:w="120" w:type="dxa"/>
              <w:bottom w:w="120" w:type="dxa"/>
              <w:left w:w="140" w:type="dxa"/>
              <w:right w:w="140" w:type="dxa"/>
            </w:tcMar>
          </w:tcPr>
          <w:p>
            <w:r>
              <w:rPr>
                <w:rFonts w:ascii="Times New Roman" w:hAnsi="Times New Roman"/>
                <w:b/>
                <w:color w:val="FFFFFF"/>
                <w:sz w:val="18"/>
              </w:rPr>
              <w:t>Recall</w:t>
            </w:r>
          </w:p>
        </w:tc>
        <w:tc>
          <w:tcPr>
            <w:tcW w:type="dxa" w:w="1560"/>
            <w:shd w:val="clear" w:color="auto" w:fill="17365D"/>
            <w:tcMar>
              <w:top w:w="120" w:type="dxa"/>
              <w:bottom w:w="120" w:type="dxa"/>
              <w:left w:w="140" w:type="dxa"/>
              <w:right w:w="140" w:type="dxa"/>
            </w:tcMar>
          </w:tcPr>
          <w:p>
            <w:r>
              <w:rPr>
                <w:rFonts w:ascii="Times New Roman" w:hAnsi="Times New Roman"/>
                <w:b/>
                <w:color w:val="FFFFFF"/>
                <w:sz w:val="18"/>
              </w:rPr>
              <w:t>F1-Score</w:t>
            </w:r>
          </w:p>
        </w:tc>
        <w:tc>
          <w:tcPr>
            <w:tcW w:type="dxa" w:w="1560"/>
            <w:shd w:val="clear" w:color="auto" w:fill="17365D"/>
            <w:tcMar>
              <w:top w:w="120" w:type="dxa"/>
              <w:bottom w:w="120" w:type="dxa"/>
              <w:left w:w="140" w:type="dxa"/>
              <w:right w:w="140" w:type="dxa"/>
            </w:tcMar>
          </w:tcPr>
          <w:p>
            <w:r>
              <w:rPr>
                <w:rFonts w:ascii="Times New Roman" w:hAnsi="Times New Roman"/>
                <w:b/>
                <w:color w:val="FFFFFF"/>
                <w:sz w:val="18"/>
              </w:rPr>
              <w:t>ROC-AUC</w:t>
            </w:r>
          </w:p>
        </w:tc>
      </w:tr>
      <w:tr>
        <w:tc>
          <w:tcPr>
            <w:tcW w:type="dxa" w:w="1560"/>
            <w:tcMar>
              <w:top w:w="100" w:type="dxa"/>
              <w:bottom w:w="100" w:type="dxa"/>
              <w:left w:w="140" w:type="dxa"/>
              <w:right w:w="140" w:type="dxa"/>
            </w:tcMar>
          </w:tcPr>
          <w:p>
            <w:r>
              <w:rPr>
                <w:rFonts w:ascii="Times New Roman" w:hAnsi="Times New Roman"/>
                <w:b/>
                <w:sz w:val="17"/>
              </w:rPr>
              <w:t>Acne</w:t>
            </w:r>
          </w:p>
        </w:tc>
        <w:tc>
          <w:tcPr>
            <w:tcW w:type="dxa" w:w="1560"/>
            <w:tcMar>
              <w:top w:w="100" w:type="dxa"/>
              <w:bottom w:w="100" w:type="dxa"/>
              <w:left w:w="140" w:type="dxa"/>
              <w:right w:w="140" w:type="dxa"/>
            </w:tcMar>
          </w:tcPr>
          <w:p>
            <w:r>
              <w:rPr>
                <w:rFonts w:ascii="Times New Roman" w:hAnsi="Times New Roman"/>
                <w:sz w:val="17"/>
              </w:rPr>
              <w:t>412</w:t>
            </w:r>
          </w:p>
        </w:tc>
        <w:tc>
          <w:tcPr>
            <w:tcW w:type="dxa" w:w="1560"/>
            <w:tcMar>
              <w:top w:w="100" w:type="dxa"/>
              <w:bottom w:w="100" w:type="dxa"/>
              <w:left w:w="140" w:type="dxa"/>
              <w:right w:w="140" w:type="dxa"/>
            </w:tcMar>
          </w:tcPr>
          <w:p>
            <w:r>
              <w:rPr>
                <w:rFonts w:ascii="Times New Roman" w:hAnsi="Times New Roman"/>
                <w:sz w:val="17"/>
              </w:rPr>
              <w:t>0.852</w:t>
            </w:r>
          </w:p>
        </w:tc>
        <w:tc>
          <w:tcPr>
            <w:tcW w:type="dxa" w:w="1560"/>
            <w:tcMar>
              <w:top w:w="100" w:type="dxa"/>
              <w:bottom w:w="100" w:type="dxa"/>
              <w:left w:w="140" w:type="dxa"/>
              <w:right w:w="140" w:type="dxa"/>
            </w:tcMar>
          </w:tcPr>
          <w:p>
            <w:r>
              <w:rPr>
                <w:rFonts w:ascii="Times New Roman" w:hAnsi="Times New Roman"/>
                <w:sz w:val="17"/>
              </w:rPr>
              <w:t>0.841</w:t>
            </w:r>
          </w:p>
        </w:tc>
        <w:tc>
          <w:tcPr>
            <w:tcW w:type="dxa" w:w="1560"/>
            <w:tcMar>
              <w:top w:w="100" w:type="dxa"/>
              <w:bottom w:w="100" w:type="dxa"/>
              <w:left w:w="140" w:type="dxa"/>
              <w:right w:w="140" w:type="dxa"/>
            </w:tcMar>
          </w:tcPr>
          <w:p>
            <w:r>
              <w:rPr>
                <w:rFonts w:ascii="Times New Roman" w:hAnsi="Times New Roman"/>
                <w:sz w:val="17"/>
              </w:rPr>
              <w:t>0.846</w:t>
            </w:r>
          </w:p>
        </w:tc>
        <w:tc>
          <w:tcPr>
            <w:tcW w:type="dxa" w:w="1560"/>
            <w:tcMar>
              <w:top w:w="100" w:type="dxa"/>
              <w:bottom w:w="100" w:type="dxa"/>
              <w:left w:w="140" w:type="dxa"/>
              <w:right w:w="140" w:type="dxa"/>
            </w:tcMar>
          </w:tcPr>
          <w:p>
            <w:r>
              <w:rPr>
                <w:rFonts w:ascii="Times New Roman" w:hAnsi="Times New Roman"/>
                <w:sz w:val="17"/>
              </w:rPr>
              <w:t>0.932</w:t>
            </w:r>
          </w:p>
        </w:tc>
      </w:tr>
      <w:tr>
        <w:tc>
          <w:tcPr>
            <w:tcW w:type="dxa" w:w="1560"/>
            <w:tcMar>
              <w:top w:w="100" w:type="dxa"/>
              <w:bottom w:w="100" w:type="dxa"/>
              <w:left w:w="140" w:type="dxa"/>
              <w:right w:w="140" w:type="dxa"/>
            </w:tcMar>
            <w:shd w:val="clear" w:color="auto" w:fill="F2F5F8"/>
          </w:tcPr>
          <w:p>
            <w:r>
              <w:rPr>
                <w:rFonts w:ascii="Times New Roman" w:hAnsi="Times New Roman"/>
                <w:b/>
                <w:sz w:val="17"/>
              </w:rPr>
              <w:t>Blackheads</w:t>
            </w:r>
          </w:p>
        </w:tc>
        <w:tc>
          <w:tcPr>
            <w:tcW w:type="dxa" w:w="1560"/>
            <w:tcMar>
              <w:top w:w="100" w:type="dxa"/>
              <w:bottom w:w="100" w:type="dxa"/>
              <w:left w:w="140" w:type="dxa"/>
              <w:right w:w="140" w:type="dxa"/>
            </w:tcMar>
            <w:shd w:val="clear" w:color="auto" w:fill="F2F5F8"/>
          </w:tcPr>
          <w:p>
            <w:r>
              <w:rPr>
                <w:rFonts w:ascii="Times New Roman" w:hAnsi="Times New Roman"/>
                <w:sz w:val="17"/>
              </w:rPr>
              <w:t>298</w:t>
            </w:r>
          </w:p>
        </w:tc>
        <w:tc>
          <w:tcPr>
            <w:tcW w:type="dxa" w:w="1560"/>
            <w:tcMar>
              <w:top w:w="100" w:type="dxa"/>
              <w:bottom w:w="100" w:type="dxa"/>
              <w:left w:w="140" w:type="dxa"/>
              <w:right w:w="140" w:type="dxa"/>
            </w:tcMar>
            <w:shd w:val="clear" w:color="auto" w:fill="F2F5F8"/>
          </w:tcPr>
          <w:p>
            <w:r>
              <w:rPr>
                <w:rFonts w:ascii="Times New Roman" w:hAnsi="Times New Roman"/>
                <w:sz w:val="17"/>
              </w:rPr>
              <w:t>0.814</w:t>
            </w:r>
          </w:p>
        </w:tc>
        <w:tc>
          <w:tcPr>
            <w:tcW w:type="dxa" w:w="1560"/>
            <w:tcMar>
              <w:top w:w="100" w:type="dxa"/>
              <w:bottom w:w="100" w:type="dxa"/>
              <w:left w:w="140" w:type="dxa"/>
              <w:right w:w="140" w:type="dxa"/>
            </w:tcMar>
            <w:shd w:val="clear" w:color="auto" w:fill="F2F5F8"/>
          </w:tcPr>
          <w:p>
            <w:r>
              <w:rPr>
                <w:rFonts w:ascii="Times New Roman" w:hAnsi="Times New Roman"/>
                <w:sz w:val="17"/>
              </w:rPr>
              <w:t>0.820</w:t>
            </w:r>
          </w:p>
        </w:tc>
        <w:tc>
          <w:tcPr>
            <w:tcW w:type="dxa" w:w="1560"/>
            <w:tcMar>
              <w:top w:w="100" w:type="dxa"/>
              <w:bottom w:w="100" w:type="dxa"/>
              <w:left w:w="140" w:type="dxa"/>
              <w:right w:w="140" w:type="dxa"/>
            </w:tcMar>
            <w:shd w:val="clear" w:color="auto" w:fill="F2F5F8"/>
          </w:tcPr>
          <w:p>
            <w:r>
              <w:rPr>
                <w:rFonts w:ascii="Times New Roman" w:hAnsi="Times New Roman"/>
                <w:sz w:val="17"/>
              </w:rPr>
              <w:t>0.817</w:t>
            </w:r>
          </w:p>
        </w:tc>
        <w:tc>
          <w:tcPr>
            <w:tcW w:type="dxa" w:w="1560"/>
            <w:tcMar>
              <w:top w:w="100" w:type="dxa"/>
              <w:bottom w:w="100" w:type="dxa"/>
              <w:left w:w="140" w:type="dxa"/>
              <w:right w:w="140" w:type="dxa"/>
            </w:tcMar>
            <w:shd w:val="clear" w:color="auto" w:fill="F2F5F8"/>
          </w:tcPr>
          <w:p>
            <w:r>
              <w:rPr>
                <w:rFonts w:ascii="Times New Roman" w:hAnsi="Times New Roman"/>
                <w:sz w:val="17"/>
              </w:rPr>
              <w:t>0.908</w:t>
            </w:r>
          </w:p>
        </w:tc>
      </w:tr>
      <w:tr>
        <w:tc>
          <w:tcPr>
            <w:tcW w:type="dxa" w:w="1560"/>
            <w:tcMar>
              <w:top w:w="100" w:type="dxa"/>
              <w:bottom w:w="100" w:type="dxa"/>
              <w:left w:w="140" w:type="dxa"/>
              <w:right w:w="140" w:type="dxa"/>
            </w:tcMar>
          </w:tcPr>
          <w:p>
            <w:r>
              <w:rPr>
                <w:rFonts w:ascii="Times New Roman" w:hAnsi="Times New Roman"/>
                <w:b/>
                <w:sz w:val="17"/>
              </w:rPr>
              <w:t>Whiteheads</w:t>
            </w:r>
          </w:p>
        </w:tc>
        <w:tc>
          <w:tcPr>
            <w:tcW w:type="dxa" w:w="1560"/>
            <w:tcMar>
              <w:top w:w="100" w:type="dxa"/>
              <w:bottom w:w="100" w:type="dxa"/>
              <w:left w:w="140" w:type="dxa"/>
              <w:right w:w="140" w:type="dxa"/>
            </w:tcMar>
          </w:tcPr>
          <w:p>
            <w:r>
              <w:rPr>
                <w:rFonts w:ascii="Times New Roman" w:hAnsi="Times New Roman"/>
                <w:sz w:val="17"/>
              </w:rPr>
              <w:t>124</w:t>
            </w:r>
          </w:p>
        </w:tc>
        <w:tc>
          <w:tcPr>
            <w:tcW w:type="dxa" w:w="1560"/>
            <w:tcMar>
              <w:top w:w="100" w:type="dxa"/>
              <w:bottom w:w="100" w:type="dxa"/>
              <w:left w:w="140" w:type="dxa"/>
              <w:right w:w="140" w:type="dxa"/>
            </w:tcMar>
          </w:tcPr>
          <w:p>
            <w:r>
              <w:rPr>
                <w:rFonts w:ascii="Times New Roman" w:hAnsi="Times New Roman"/>
                <w:sz w:val="17"/>
              </w:rPr>
              <w:t>0.778</w:t>
            </w:r>
          </w:p>
        </w:tc>
        <w:tc>
          <w:tcPr>
            <w:tcW w:type="dxa" w:w="1560"/>
            <w:tcMar>
              <w:top w:w="100" w:type="dxa"/>
              <w:bottom w:w="100" w:type="dxa"/>
              <w:left w:w="140" w:type="dxa"/>
              <w:right w:w="140" w:type="dxa"/>
            </w:tcMar>
          </w:tcPr>
          <w:p>
            <w:r>
              <w:rPr>
                <w:rFonts w:ascii="Times New Roman" w:hAnsi="Times New Roman"/>
                <w:sz w:val="17"/>
              </w:rPr>
              <w:t>0.752</w:t>
            </w:r>
          </w:p>
        </w:tc>
        <w:tc>
          <w:tcPr>
            <w:tcW w:type="dxa" w:w="1560"/>
            <w:tcMar>
              <w:top w:w="100" w:type="dxa"/>
              <w:bottom w:w="100" w:type="dxa"/>
              <w:left w:w="140" w:type="dxa"/>
              <w:right w:w="140" w:type="dxa"/>
            </w:tcMar>
          </w:tcPr>
          <w:p>
            <w:r>
              <w:rPr>
                <w:rFonts w:ascii="Times New Roman" w:hAnsi="Times New Roman"/>
                <w:sz w:val="17"/>
              </w:rPr>
              <w:t>0.765</w:t>
            </w:r>
          </w:p>
        </w:tc>
        <w:tc>
          <w:tcPr>
            <w:tcW w:type="dxa" w:w="1560"/>
            <w:tcMar>
              <w:top w:w="100" w:type="dxa"/>
              <w:bottom w:w="100" w:type="dxa"/>
              <w:left w:w="140" w:type="dxa"/>
              <w:right w:w="140" w:type="dxa"/>
            </w:tcMar>
          </w:tcPr>
          <w:p>
            <w:r>
              <w:rPr>
                <w:rFonts w:ascii="Times New Roman" w:hAnsi="Times New Roman"/>
                <w:sz w:val="17"/>
              </w:rPr>
              <w:t>0.879</w:t>
            </w:r>
          </w:p>
        </w:tc>
      </w:tr>
      <w:tr>
        <w:tc>
          <w:tcPr>
            <w:tcW w:type="dxa" w:w="1560"/>
            <w:tcMar>
              <w:top w:w="100" w:type="dxa"/>
              <w:bottom w:w="100" w:type="dxa"/>
              <w:left w:w="140" w:type="dxa"/>
              <w:right w:w="140" w:type="dxa"/>
            </w:tcMar>
            <w:shd w:val="clear" w:color="auto" w:fill="F2F5F8"/>
          </w:tcPr>
          <w:p>
            <w:r>
              <w:rPr>
                <w:rFonts w:ascii="Times New Roman" w:hAnsi="Times New Roman"/>
                <w:b/>
                <w:sz w:val="17"/>
              </w:rPr>
              <w:t>Dark Spots</w:t>
            </w:r>
          </w:p>
        </w:tc>
        <w:tc>
          <w:tcPr>
            <w:tcW w:type="dxa" w:w="1560"/>
            <w:tcMar>
              <w:top w:w="100" w:type="dxa"/>
              <w:bottom w:w="100" w:type="dxa"/>
              <w:left w:w="140" w:type="dxa"/>
              <w:right w:w="140" w:type="dxa"/>
            </w:tcMar>
            <w:shd w:val="clear" w:color="auto" w:fill="F2F5F8"/>
          </w:tcPr>
          <w:p>
            <w:r>
              <w:rPr>
                <w:rFonts w:ascii="Times New Roman" w:hAnsi="Times New Roman"/>
                <w:sz w:val="17"/>
              </w:rPr>
              <w:t>350</w:t>
            </w:r>
          </w:p>
        </w:tc>
        <w:tc>
          <w:tcPr>
            <w:tcW w:type="dxa" w:w="1560"/>
            <w:tcMar>
              <w:top w:w="100" w:type="dxa"/>
              <w:bottom w:w="100" w:type="dxa"/>
              <w:left w:w="140" w:type="dxa"/>
              <w:right w:w="140" w:type="dxa"/>
            </w:tcMar>
            <w:shd w:val="clear" w:color="auto" w:fill="F2F5F8"/>
          </w:tcPr>
          <w:p>
            <w:r>
              <w:rPr>
                <w:rFonts w:ascii="Times New Roman" w:hAnsi="Times New Roman"/>
                <w:sz w:val="17"/>
              </w:rPr>
              <w:t>0.835</w:t>
            </w:r>
          </w:p>
        </w:tc>
        <w:tc>
          <w:tcPr>
            <w:tcW w:type="dxa" w:w="1560"/>
            <w:tcMar>
              <w:top w:w="100" w:type="dxa"/>
              <w:bottom w:w="100" w:type="dxa"/>
              <w:left w:w="140" w:type="dxa"/>
              <w:right w:w="140" w:type="dxa"/>
            </w:tcMar>
            <w:shd w:val="clear" w:color="auto" w:fill="F2F5F8"/>
          </w:tcPr>
          <w:p>
            <w:r>
              <w:rPr>
                <w:rFonts w:ascii="Times New Roman" w:hAnsi="Times New Roman"/>
                <w:sz w:val="17"/>
              </w:rPr>
              <w:t>0.819</w:t>
            </w:r>
          </w:p>
        </w:tc>
        <w:tc>
          <w:tcPr>
            <w:tcW w:type="dxa" w:w="1560"/>
            <w:tcMar>
              <w:top w:w="100" w:type="dxa"/>
              <w:bottom w:w="100" w:type="dxa"/>
              <w:left w:w="140" w:type="dxa"/>
              <w:right w:w="140" w:type="dxa"/>
            </w:tcMar>
            <w:shd w:val="clear" w:color="auto" w:fill="F2F5F8"/>
          </w:tcPr>
          <w:p>
            <w:r>
              <w:rPr>
                <w:rFonts w:ascii="Times New Roman" w:hAnsi="Times New Roman"/>
                <w:sz w:val="17"/>
              </w:rPr>
              <w:t>0.827</w:t>
            </w:r>
          </w:p>
        </w:tc>
        <w:tc>
          <w:tcPr>
            <w:tcW w:type="dxa" w:w="1560"/>
            <w:tcMar>
              <w:top w:w="100" w:type="dxa"/>
              <w:bottom w:w="100" w:type="dxa"/>
              <w:left w:w="140" w:type="dxa"/>
              <w:right w:w="140" w:type="dxa"/>
            </w:tcMar>
            <w:shd w:val="clear" w:color="auto" w:fill="F2F5F8"/>
          </w:tcPr>
          <w:p>
            <w:r>
              <w:rPr>
                <w:rFonts w:ascii="Times New Roman" w:hAnsi="Times New Roman"/>
                <w:sz w:val="17"/>
              </w:rPr>
              <w:t>0.918</w:t>
            </w:r>
          </w:p>
        </w:tc>
      </w:tr>
      <w:tr>
        <w:tc>
          <w:tcPr>
            <w:tcW w:type="dxa" w:w="1560"/>
            <w:tcMar>
              <w:top w:w="100" w:type="dxa"/>
              <w:bottom w:w="100" w:type="dxa"/>
              <w:left w:w="140" w:type="dxa"/>
              <w:right w:w="140" w:type="dxa"/>
            </w:tcMar>
          </w:tcPr>
          <w:p>
            <w:r>
              <w:rPr>
                <w:rFonts w:ascii="Times New Roman" w:hAnsi="Times New Roman"/>
                <w:b/>
                <w:sz w:val="17"/>
              </w:rPr>
              <w:t>Pigmentation</w:t>
            </w:r>
          </w:p>
        </w:tc>
        <w:tc>
          <w:tcPr>
            <w:tcW w:type="dxa" w:w="1560"/>
            <w:tcMar>
              <w:top w:w="100" w:type="dxa"/>
              <w:bottom w:w="100" w:type="dxa"/>
              <w:left w:w="140" w:type="dxa"/>
              <w:right w:w="140" w:type="dxa"/>
            </w:tcMar>
          </w:tcPr>
          <w:p>
            <w:r>
              <w:rPr>
                <w:rFonts w:ascii="Times New Roman" w:hAnsi="Times New Roman"/>
                <w:sz w:val="17"/>
              </w:rPr>
              <w:t>284</w:t>
            </w:r>
          </w:p>
        </w:tc>
        <w:tc>
          <w:tcPr>
            <w:tcW w:type="dxa" w:w="1560"/>
            <w:tcMar>
              <w:top w:w="100" w:type="dxa"/>
              <w:bottom w:w="100" w:type="dxa"/>
              <w:left w:w="140" w:type="dxa"/>
              <w:right w:w="140" w:type="dxa"/>
            </w:tcMar>
          </w:tcPr>
          <w:p>
            <w:r>
              <w:rPr>
                <w:rFonts w:ascii="Times New Roman" w:hAnsi="Times New Roman"/>
                <w:sz w:val="17"/>
              </w:rPr>
              <w:t>0.812</w:t>
            </w:r>
          </w:p>
        </w:tc>
        <w:tc>
          <w:tcPr>
            <w:tcW w:type="dxa" w:w="1560"/>
            <w:tcMar>
              <w:top w:w="100" w:type="dxa"/>
              <w:bottom w:w="100" w:type="dxa"/>
              <w:left w:w="140" w:type="dxa"/>
              <w:right w:w="140" w:type="dxa"/>
            </w:tcMar>
          </w:tcPr>
          <w:p>
            <w:r>
              <w:rPr>
                <w:rFonts w:ascii="Times New Roman" w:hAnsi="Times New Roman"/>
                <w:sz w:val="17"/>
              </w:rPr>
              <w:t>0.806</w:t>
            </w:r>
          </w:p>
        </w:tc>
        <w:tc>
          <w:tcPr>
            <w:tcW w:type="dxa" w:w="1560"/>
            <w:tcMar>
              <w:top w:w="100" w:type="dxa"/>
              <w:bottom w:w="100" w:type="dxa"/>
              <w:left w:w="140" w:type="dxa"/>
              <w:right w:w="140" w:type="dxa"/>
            </w:tcMar>
          </w:tcPr>
          <w:p>
            <w:r>
              <w:rPr>
                <w:rFonts w:ascii="Times New Roman" w:hAnsi="Times New Roman"/>
                <w:sz w:val="17"/>
              </w:rPr>
              <w:t>0.809</w:t>
            </w:r>
          </w:p>
        </w:tc>
        <w:tc>
          <w:tcPr>
            <w:tcW w:type="dxa" w:w="1560"/>
            <w:tcMar>
              <w:top w:w="100" w:type="dxa"/>
              <w:bottom w:w="100" w:type="dxa"/>
              <w:left w:w="140" w:type="dxa"/>
              <w:right w:w="140" w:type="dxa"/>
            </w:tcMar>
          </w:tcPr>
          <w:p>
            <w:r>
              <w:rPr>
                <w:rFonts w:ascii="Times New Roman" w:hAnsi="Times New Roman"/>
                <w:sz w:val="17"/>
              </w:rPr>
              <w:t>0.904</w:t>
            </w:r>
          </w:p>
        </w:tc>
      </w:tr>
      <w:tr>
        <w:tc>
          <w:tcPr>
            <w:tcW w:type="dxa" w:w="1560"/>
            <w:tcMar>
              <w:top w:w="100" w:type="dxa"/>
              <w:bottom w:w="100" w:type="dxa"/>
              <w:left w:w="140" w:type="dxa"/>
              <w:right w:w="140" w:type="dxa"/>
            </w:tcMar>
            <w:shd w:val="clear" w:color="auto" w:fill="F2F5F8"/>
          </w:tcPr>
          <w:p>
            <w:r>
              <w:rPr>
                <w:rFonts w:ascii="Times New Roman" w:hAnsi="Times New Roman"/>
                <w:b/>
                <w:sz w:val="17"/>
              </w:rPr>
              <w:t>Pores</w:t>
            </w:r>
          </w:p>
        </w:tc>
        <w:tc>
          <w:tcPr>
            <w:tcW w:type="dxa" w:w="1560"/>
            <w:tcMar>
              <w:top w:w="100" w:type="dxa"/>
              <w:bottom w:w="100" w:type="dxa"/>
              <w:left w:w="140" w:type="dxa"/>
              <w:right w:w="140" w:type="dxa"/>
            </w:tcMar>
            <w:shd w:val="clear" w:color="auto" w:fill="F2F5F8"/>
          </w:tcPr>
          <w:p>
            <w:r>
              <w:rPr>
                <w:rFonts w:ascii="Times New Roman" w:hAnsi="Times New Roman"/>
                <w:sz w:val="17"/>
              </w:rPr>
              <w:t>366</w:t>
            </w:r>
          </w:p>
        </w:tc>
        <w:tc>
          <w:tcPr>
            <w:tcW w:type="dxa" w:w="1560"/>
            <w:tcMar>
              <w:top w:w="100" w:type="dxa"/>
              <w:bottom w:w="100" w:type="dxa"/>
              <w:left w:w="140" w:type="dxa"/>
              <w:right w:w="140" w:type="dxa"/>
            </w:tcMar>
            <w:shd w:val="clear" w:color="auto" w:fill="F2F5F8"/>
          </w:tcPr>
          <w:p>
            <w:r>
              <w:rPr>
                <w:rFonts w:ascii="Times New Roman" w:hAnsi="Times New Roman"/>
                <w:sz w:val="17"/>
              </w:rPr>
              <w:t>0.844</w:t>
            </w:r>
          </w:p>
        </w:tc>
        <w:tc>
          <w:tcPr>
            <w:tcW w:type="dxa" w:w="1560"/>
            <w:tcMar>
              <w:top w:w="100" w:type="dxa"/>
              <w:bottom w:w="100" w:type="dxa"/>
              <w:left w:w="140" w:type="dxa"/>
              <w:right w:w="140" w:type="dxa"/>
            </w:tcMar>
            <w:shd w:val="clear" w:color="auto" w:fill="F2F5F8"/>
          </w:tcPr>
          <w:p>
            <w:r>
              <w:rPr>
                <w:rFonts w:ascii="Times New Roman" w:hAnsi="Times New Roman"/>
                <w:sz w:val="17"/>
              </w:rPr>
              <w:t>0.837</w:t>
            </w:r>
          </w:p>
        </w:tc>
        <w:tc>
          <w:tcPr>
            <w:tcW w:type="dxa" w:w="1560"/>
            <w:tcMar>
              <w:top w:w="100" w:type="dxa"/>
              <w:bottom w:w="100" w:type="dxa"/>
              <w:left w:w="140" w:type="dxa"/>
              <w:right w:w="140" w:type="dxa"/>
            </w:tcMar>
            <w:shd w:val="clear" w:color="auto" w:fill="F2F5F8"/>
          </w:tcPr>
          <w:p>
            <w:r>
              <w:rPr>
                <w:rFonts w:ascii="Times New Roman" w:hAnsi="Times New Roman"/>
                <w:sz w:val="17"/>
              </w:rPr>
              <w:t>0.840</w:t>
            </w:r>
          </w:p>
        </w:tc>
        <w:tc>
          <w:tcPr>
            <w:tcW w:type="dxa" w:w="1560"/>
            <w:tcMar>
              <w:top w:w="100" w:type="dxa"/>
              <w:bottom w:w="100" w:type="dxa"/>
              <w:left w:w="140" w:type="dxa"/>
              <w:right w:w="140" w:type="dxa"/>
            </w:tcMar>
            <w:shd w:val="clear" w:color="auto" w:fill="F2F5F8"/>
          </w:tcPr>
          <w:p>
            <w:r>
              <w:rPr>
                <w:rFonts w:ascii="Times New Roman" w:hAnsi="Times New Roman"/>
                <w:sz w:val="17"/>
              </w:rPr>
              <w:t>0.925</w:t>
            </w:r>
          </w:p>
        </w:tc>
      </w:tr>
      <w:tr>
        <w:tc>
          <w:tcPr>
            <w:tcW w:type="dxa" w:w="1560"/>
            <w:tcMar>
              <w:top w:w="100" w:type="dxa"/>
              <w:bottom w:w="100" w:type="dxa"/>
              <w:left w:w="140" w:type="dxa"/>
              <w:right w:w="140" w:type="dxa"/>
            </w:tcMar>
          </w:tcPr>
          <w:p>
            <w:r>
              <w:rPr>
                <w:rFonts w:ascii="Times New Roman" w:hAnsi="Times New Roman"/>
                <w:b/>
                <w:sz w:val="17"/>
              </w:rPr>
              <w:t>Wrinkles</w:t>
            </w:r>
          </w:p>
        </w:tc>
        <w:tc>
          <w:tcPr>
            <w:tcW w:type="dxa" w:w="1560"/>
            <w:tcMar>
              <w:top w:w="100" w:type="dxa"/>
              <w:bottom w:w="100" w:type="dxa"/>
              <w:left w:w="140" w:type="dxa"/>
              <w:right w:w="140" w:type="dxa"/>
            </w:tcMar>
          </w:tcPr>
          <w:p>
            <w:r>
              <w:rPr>
                <w:rFonts w:ascii="Times New Roman" w:hAnsi="Times New Roman"/>
                <w:sz w:val="17"/>
              </w:rPr>
              <w:t>320</w:t>
            </w:r>
          </w:p>
        </w:tc>
        <w:tc>
          <w:tcPr>
            <w:tcW w:type="dxa" w:w="1560"/>
            <w:tcMar>
              <w:top w:w="100" w:type="dxa"/>
              <w:bottom w:w="100" w:type="dxa"/>
              <w:left w:w="140" w:type="dxa"/>
              <w:right w:w="140" w:type="dxa"/>
            </w:tcMar>
          </w:tcPr>
          <w:p>
            <w:r>
              <w:rPr>
                <w:rFonts w:ascii="Times New Roman" w:hAnsi="Times New Roman"/>
                <w:sz w:val="17"/>
              </w:rPr>
              <w:t>0.861</w:t>
            </w:r>
          </w:p>
        </w:tc>
        <w:tc>
          <w:tcPr>
            <w:tcW w:type="dxa" w:w="1560"/>
            <w:tcMar>
              <w:top w:w="100" w:type="dxa"/>
              <w:bottom w:w="100" w:type="dxa"/>
              <w:left w:w="140" w:type="dxa"/>
              <w:right w:w="140" w:type="dxa"/>
            </w:tcMar>
          </w:tcPr>
          <w:p>
            <w:r>
              <w:rPr>
                <w:rFonts w:ascii="Times New Roman" w:hAnsi="Times New Roman"/>
                <w:sz w:val="17"/>
              </w:rPr>
              <w:t>0.858</w:t>
            </w:r>
          </w:p>
        </w:tc>
        <w:tc>
          <w:tcPr>
            <w:tcW w:type="dxa" w:w="1560"/>
            <w:tcMar>
              <w:top w:w="100" w:type="dxa"/>
              <w:bottom w:w="100" w:type="dxa"/>
              <w:left w:w="140" w:type="dxa"/>
              <w:right w:w="140" w:type="dxa"/>
            </w:tcMar>
          </w:tcPr>
          <w:p>
            <w:r>
              <w:rPr>
                <w:rFonts w:ascii="Times New Roman" w:hAnsi="Times New Roman"/>
                <w:sz w:val="17"/>
              </w:rPr>
              <w:t>0.859</w:t>
            </w:r>
          </w:p>
        </w:tc>
        <w:tc>
          <w:tcPr>
            <w:tcW w:type="dxa" w:w="1560"/>
            <w:tcMar>
              <w:top w:w="100" w:type="dxa"/>
              <w:bottom w:w="100" w:type="dxa"/>
              <w:left w:w="140" w:type="dxa"/>
              <w:right w:w="140" w:type="dxa"/>
            </w:tcMar>
          </w:tcPr>
          <w:p>
            <w:r>
              <w:rPr>
                <w:rFonts w:ascii="Times New Roman" w:hAnsi="Times New Roman"/>
                <w:sz w:val="17"/>
              </w:rPr>
              <w:t>0.938</w:t>
            </w:r>
          </w:p>
        </w:tc>
      </w:tr>
      <w:tr>
        <w:tc>
          <w:tcPr>
            <w:tcW w:type="dxa" w:w="1560"/>
            <w:tcMar>
              <w:top w:w="100" w:type="dxa"/>
              <w:bottom w:w="100" w:type="dxa"/>
              <w:left w:w="140" w:type="dxa"/>
              <w:right w:w="140" w:type="dxa"/>
            </w:tcMar>
            <w:shd w:val="clear" w:color="auto" w:fill="F2F5F8"/>
          </w:tcPr>
          <w:p>
            <w:r>
              <w:rPr>
                <w:rFonts w:ascii="Times New Roman" w:hAnsi="Times New Roman"/>
                <w:b/>
                <w:sz w:val="17"/>
              </w:rPr>
              <w:t>Redness</w:t>
            </w:r>
          </w:p>
        </w:tc>
        <w:tc>
          <w:tcPr>
            <w:tcW w:type="dxa" w:w="1560"/>
            <w:tcMar>
              <w:top w:w="100" w:type="dxa"/>
              <w:bottom w:w="100" w:type="dxa"/>
              <w:left w:w="140" w:type="dxa"/>
              <w:right w:w="140" w:type="dxa"/>
            </w:tcMar>
            <w:shd w:val="clear" w:color="auto" w:fill="F2F5F8"/>
          </w:tcPr>
          <w:p>
            <w:r>
              <w:rPr>
                <w:rFonts w:ascii="Times New Roman" w:hAnsi="Times New Roman"/>
                <w:sz w:val="17"/>
              </w:rPr>
              <w:t>196</w:t>
            </w:r>
          </w:p>
        </w:tc>
        <w:tc>
          <w:tcPr>
            <w:tcW w:type="dxa" w:w="1560"/>
            <w:tcMar>
              <w:top w:w="100" w:type="dxa"/>
              <w:bottom w:w="100" w:type="dxa"/>
              <w:left w:w="140" w:type="dxa"/>
              <w:right w:w="140" w:type="dxa"/>
            </w:tcMar>
            <w:shd w:val="clear" w:color="auto" w:fill="F2F5F8"/>
          </w:tcPr>
          <w:p>
            <w:r>
              <w:rPr>
                <w:rFonts w:ascii="Times New Roman" w:hAnsi="Times New Roman"/>
                <w:sz w:val="17"/>
              </w:rPr>
              <w:t>0.810</w:t>
            </w:r>
          </w:p>
        </w:tc>
        <w:tc>
          <w:tcPr>
            <w:tcW w:type="dxa" w:w="1560"/>
            <w:tcMar>
              <w:top w:w="100" w:type="dxa"/>
              <w:bottom w:w="100" w:type="dxa"/>
              <w:left w:w="140" w:type="dxa"/>
              <w:right w:w="140" w:type="dxa"/>
            </w:tcMar>
            <w:shd w:val="clear" w:color="auto" w:fill="F2F5F8"/>
          </w:tcPr>
          <w:p>
            <w:r>
              <w:rPr>
                <w:rFonts w:ascii="Times New Roman" w:hAnsi="Times New Roman"/>
                <w:sz w:val="17"/>
              </w:rPr>
              <w:t>0.802</w:t>
            </w:r>
          </w:p>
        </w:tc>
        <w:tc>
          <w:tcPr>
            <w:tcW w:type="dxa" w:w="1560"/>
            <w:tcMar>
              <w:top w:w="100" w:type="dxa"/>
              <w:bottom w:w="100" w:type="dxa"/>
              <w:left w:w="140" w:type="dxa"/>
              <w:right w:w="140" w:type="dxa"/>
            </w:tcMar>
            <w:shd w:val="clear" w:color="auto" w:fill="F2F5F8"/>
          </w:tcPr>
          <w:p>
            <w:r>
              <w:rPr>
                <w:rFonts w:ascii="Times New Roman" w:hAnsi="Times New Roman"/>
                <w:sz w:val="17"/>
              </w:rPr>
              <w:t>0.806</w:t>
            </w:r>
          </w:p>
        </w:tc>
        <w:tc>
          <w:tcPr>
            <w:tcW w:type="dxa" w:w="1560"/>
            <w:tcMar>
              <w:top w:w="100" w:type="dxa"/>
              <w:bottom w:w="100" w:type="dxa"/>
              <w:left w:w="140" w:type="dxa"/>
              <w:right w:w="140" w:type="dxa"/>
            </w:tcMar>
            <w:shd w:val="clear" w:color="auto" w:fill="F2F5F8"/>
          </w:tcPr>
          <w:p>
            <w:r>
              <w:rPr>
                <w:rFonts w:ascii="Times New Roman" w:hAnsi="Times New Roman"/>
                <w:sz w:val="17"/>
              </w:rPr>
              <w:t>0.905</w:t>
            </w:r>
          </w:p>
        </w:tc>
      </w:tr>
      <w:tr>
        <w:tc>
          <w:tcPr>
            <w:tcW w:type="dxa" w:w="1560"/>
            <w:tcMar>
              <w:top w:w="100" w:type="dxa"/>
              <w:bottom w:w="100" w:type="dxa"/>
              <w:left w:w="140" w:type="dxa"/>
              <w:right w:w="140" w:type="dxa"/>
            </w:tcMar>
            <w:shd w:val="clear" w:color="auto" w:fill="EBF1F5"/>
          </w:tcPr>
          <w:p>
            <w:r>
              <w:rPr>
                <w:rFonts w:ascii="Times New Roman" w:hAnsi="Times New Roman"/>
                <w:b/>
                <w:sz w:val="17"/>
              </w:rPr>
              <w:t>Macro Average</w:t>
            </w:r>
          </w:p>
        </w:tc>
        <w:tc>
          <w:tcPr>
            <w:tcW w:type="dxa" w:w="1560"/>
            <w:tcMar>
              <w:top w:w="100" w:type="dxa"/>
              <w:bottom w:w="100" w:type="dxa"/>
              <w:left w:w="140" w:type="dxa"/>
              <w:right w:w="140" w:type="dxa"/>
            </w:tcMar>
            <w:shd w:val="clear" w:color="auto" w:fill="EBF1F5"/>
          </w:tcPr>
          <w:p>
            <w:r>
              <w:rPr>
                <w:rFonts w:ascii="Times New Roman" w:hAnsi="Times New Roman"/>
                <w:b/>
                <w:sz w:val="17"/>
              </w:rPr>
              <w:t>2,350 total</w:t>
            </w:r>
          </w:p>
        </w:tc>
        <w:tc>
          <w:tcPr>
            <w:tcW w:type="dxa" w:w="1560"/>
            <w:tcMar>
              <w:top w:w="100" w:type="dxa"/>
              <w:bottom w:w="100" w:type="dxa"/>
              <w:left w:w="140" w:type="dxa"/>
              <w:right w:w="140" w:type="dxa"/>
            </w:tcMar>
            <w:shd w:val="clear" w:color="auto" w:fill="EBF1F5"/>
          </w:tcPr>
          <w:p>
            <w:r>
              <w:rPr>
                <w:rFonts w:ascii="Times New Roman" w:hAnsi="Times New Roman"/>
                <w:b/>
                <w:sz w:val="17"/>
              </w:rPr>
              <w:t>0.826</w:t>
            </w:r>
          </w:p>
        </w:tc>
        <w:tc>
          <w:tcPr>
            <w:tcW w:type="dxa" w:w="1560"/>
            <w:tcMar>
              <w:top w:w="100" w:type="dxa"/>
              <w:bottom w:w="100" w:type="dxa"/>
              <w:left w:w="140" w:type="dxa"/>
              <w:right w:w="140" w:type="dxa"/>
            </w:tcMar>
            <w:shd w:val="clear" w:color="auto" w:fill="EBF1F5"/>
          </w:tcPr>
          <w:p>
            <w:r>
              <w:rPr>
                <w:rFonts w:ascii="Times New Roman" w:hAnsi="Times New Roman"/>
                <w:b/>
                <w:sz w:val="17"/>
              </w:rPr>
              <w:t>0.819</w:t>
            </w:r>
          </w:p>
        </w:tc>
        <w:tc>
          <w:tcPr>
            <w:tcW w:type="dxa" w:w="1560"/>
            <w:tcMar>
              <w:top w:w="100" w:type="dxa"/>
              <w:bottom w:w="100" w:type="dxa"/>
              <w:left w:w="140" w:type="dxa"/>
              <w:right w:w="140" w:type="dxa"/>
            </w:tcMar>
            <w:shd w:val="clear" w:color="auto" w:fill="EBF1F5"/>
          </w:tcPr>
          <w:p>
            <w:r>
              <w:rPr>
                <w:rFonts w:ascii="Times New Roman" w:hAnsi="Times New Roman"/>
                <w:b/>
                <w:sz w:val="17"/>
              </w:rPr>
              <w:t>0.822</w:t>
            </w:r>
          </w:p>
        </w:tc>
        <w:tc>
          <w:tcPr>
            <w:tcW w:type="dxa" w:w="1560"/>
            <w:tcMar>
              <w:top w:w="100" w:type="dxa"/>
              <w:bottom w:w="100" w:type="dxa"/>
              <w:left w:w="140" w:type="dxa"/>
              <w:right w:w="140" w:type="dxa"/>
            </w:tcMar>
            <w:shd w:val="clear" w:color="auto" w:fill="EBF1F5"/>
          </w:tcPr>
          <w:p>
            <w:r>
              <w:rPr>
                <w:rFonts w:ascii="Times New Roman" w:hAnsi="Times New Roman"/>
                <w:b/>
                <w:sz w:val="17"/>
              </w:rPr>
              <w:t>0.914</w:t>
            </w:r>
          </w:p>
        </w:tc>
      </w:tr>
    </w:tbl>
    <w:p>
      <w:pPr>
        <w:spacing w:after="200" w:line="276" w:lineRule="auto"/>
        <w:jc w:val="both"/>
      </w:pPr>
      <w:r>
        <w:rPr>
          <w:rFonts w:ascii="Times New Roman" w:hAnsi="Times New Roman"/>
          <w:sz w:val="20"/>
        </w:rPr>
        <w:t>Table no 4 (10 Bold): Condition-Specific Diagnostic Performance Metrics (EfficientNet-B0).</w:t>
      </w:r>
    </w:p>
    <w:p>
      <w:pPr>
        <w:spacing w:before="160" w:after="60"/>
      </w:pPr>
      <w:r>
        <w:rPr>
          <w:rFonts w:ascii="Times New Roman" w:hAnsi="Times New Roman"/>
          <w:b/>
          <w:color w:val="17365D"/>
          <w:sz w:val="20"/>
        </w:rPr>
        <w:t>3.5 Recommendation Decision Engine Validation</w:t>
      </w:r>
    </w:p>
    <w:p>
      <w:pPr>
        <w:spacing w:after="120" w:line="276" w:lineRule="auto"/>
        <w:jc w:val="both"/>
      </w:pPr>
      <w:r>
        <w:rPr>
          <w:rFonts w:ascii="Times New Roman" w:hAnsi="Times New Roman"/>
          <w:sz w:val="20"/>
        </w:rPr>
        <w:t>A cohort of 150 stratified diagnostic cases was evaluated by cosmetic science reviewers across active ingredient matching, contraindication avoidance, and dietary coherence. The engine attained 96.67% active ingredient alignment (145/150), 99.33% contraindication avoidance (149/150), 98.00% epidermal barrier support inclusion, and 94.00% dietary correlation consistency.</w:t>
      </w:r>
    </w:p>
    <w:p>
      <w:pPr>
        <w:spacing w:before="280" w:after="80"/>
      </w:pPr>
      <w:r>
        <w:rPr>
          <w:rFonts w:ascii="Times New Roman" w:hAnsi="Times New Roman"/>
          <w:b/>
          <w:color w:val="000000"/>
          <w:sz w:val="22"/>
        </w:rPr>
        <w:t>4. Discussion</w:t>
      </w:r>
    </w:p>
    <w:p>
      <w:pPr>
        <w:spacing w:after="120" w:line="276" w:lineRule="auto"/>
        <w:jc w:val="both"/>
      </w:pPr>
      <w:r>
        <w:rPr>
          <w:rFonts w:ascii="Times New Roman" w:hAnsi="Times New Roman"/>
          <w:sz w:val="20"/>
        </w:rPr>
        <w:t>The empirical findings demonstrate that DermaNova effectively resolves the core architectural and data dilemmas hindering automated facial skin analysis.</w:t>
      </w:r>
    </w:p>
    <w:p>
      <w:pPr>
        <w:spacing w:after="120" w:line="276" w:lineRule="auto"/>
        <w:jc w:val="both"/>
      </w:pPr>
      <w:r>
        <w:rPr>
          <w:rFonts w:ascii="Times New Roman" w:hAnsi="Times New Roman"/>
          <w:sz w:val="20"/>
        </w:rPr>
        <w:t>Synthesizing Benchmarks with Prior Work: In contrast to Skyn [6] and vinit714 [7], which treat skin assessment as a coarse single-label categorization, DermaNova operates across an 8-class multi-label space, capturing concurrent clinical conditions. Compared to Acnes (Ben Salem) [9], which trains disconnected segmentation and classification pipelines without cross-task synergy, DermaNova integrates spatial Grad-CAM attention localization directly tethered to multi-label output logits. Crucially, DermaNova successfully generalizes the seminal unique-face split principles pioneered by Shen et al. [10] at UC Berkeley from a simple 3-class single-disease setup to a complex 8-class multi-label taxonomy.</w:t>
      </w:r>
    </w:p>
    <w:p>
      <w:pPr>
        <w:spacing w:after="120" w:line="276" w:lineRule="auto"/>
        <w:jc w:val="both"/>
      </w:pPr>
      <w:r>
        <w:rPr>
          <w:rFonts w:ascii="Times New Roman" w:hAnsi="Times New Roman"/>
          <w:sz w:val="20"/>
        </w:rPr>
        <w:t>Clinical Interpretability &amp; Grad-CAM Verification: Grad-CAM saliency heatmaps confirm that the EfficientNet-B0 backbone focuses on genuine dermatological features—such as inflammatory papules, follicular comedones, and peri-orbital creases—rather than learning spurious background artifacts or illumination gradients.</w:t>
      </w:r>
    </w:p>
    <w:p>
      <w:pPr>
        <w:spacing w:after="120" w:line="276" w:lineRule="auto"/>
        <w:jc w:val="both"/>
      </w:pPr>
      <w:r>
        <w:rPr>
          <w:rFonts w:ascii="Times New Roman" w:hAnsi="Times New Roman"/>
          <w:sz w:val="20"/>
        </w:rPr>
        <w:t>Fitzpatrick Skin Phototype Fairness: Disparities in diagnostic performance across Fitzpatrick skin phototypes (Types I through VI) represent a critical hazard in medical AI [13]. DermaNova mitigates algorithmic bias through LAB-space CLAHE normalization, which equalizes luminance while preserving natural chromatic melanin distribution. Stratified testing demonstrated balanced F1-scores of 0.828 for Fitzpatrick Types I-III and 0.814 for Types IV-VI, exhibiting a minimal inter-demographic disparity of delta F1 = 0.014.</w:t>
      </w:r>
    </w:p>
    <w:p>
      <w:pPr>
        <w:spacing w:after="120" w:line="276" w:lineRule="auto"/>
        <w:jc w:val="both"/>
      </w:pPr>
      <w:r>
        <w:rPr>
          <w:rFonts w:ascii="Times New Roman" w:hAnsi="Times New Roman"/>
          <w:sz w:val="20"/>
        </w:rPr>
        <w:t>Clinical Safety and Regulatory Boundaries: DermaNova is designed as an educational and triage tool. Predictions with confidence scores below 0.60 are flagged for in-person consultation, while detection of acute widespread erythema generates urgent clinical referral alerts. All user images are processed ephemerally in RAM buffers without persistent storage of identifiable biometric features, complying with HIPAA and DPDP principles.</w:t>
      </w:r>
    </w:p>
    <w:p>
      <w:pPr>
        <w:spacing w:before="280" w:after="80"/>
      </w:pPr>
      <w:r>
        <w:rPr>
          <w:rFonts w:ascii="Times New Roman" w:hAnsi="Times New Roman"/>
          <w:b/>
          <w:color w:val="000000"/>
          <w:sz w:val="22"/>
        </w:rPr>
        <w:t>5. Conclusion</w:t>
      </w:r>
    </w:p>
    <w:p>
      <w:pPr>
        <w:spacing w:after="120" w:line="276" w:lineRule="auto"/>
        <w:jc w:val="both"/>
      </w:pPr>
      <w:r>
        <w:rPr>
          <w:rFonts w:ascii="Times New Roman" w:hAnsi="Times New Roman"/>
          <w:sz w:val="20"/>
        </w:rPr>
        <w:t>DermaNova provides a scientifically grounded, leak-free, multi-task deep learning framework for comprehensive facial skin assessment and evidence-based skincare guidance. By systematically addressing uncurated data leakage across 14,003 raw images, establishing a harmonized 8-class taxonomy, implementing optical enhancement, and optimizing an EfficientNet-B0 backbone with Asymmetric Focal and Ordinal Loss, DermaNova achieves an honest ROC-AUC of 0.914, F1-score of 0.822, and subset accuracy of 81.42% on a frozen, unaugmented test set. Coupled with an evidence-based pharmacological recommendation engine, the platform bridges the divide between computer vision and cosmetic dermatology.</w:t>
      </w:r>
    </w:p>
    <w:p>
      <w:pPr>
        <w:spacing w:after="120" w:line="276" w:lineRule="auto"/>
        <w:jc w:val="both"/>
      </w:pPr>
      <w:r>
        <w:rPr>
          <w:rFonts w:ascii="Times New Roman" w:hAnsi="Times New Roman"/>
          <w:sz w:val="20"/>
        </w:rPr>
        <w:t>Immediate engineering milestones will integrate the model into a containerized FastAPI backend and Next.js 14 web client with real-time MediaPipe facial landmark tracking, paving the way for clinical observational trials and longitudinal skin-health monitoring.</w:t>
      </w:r>
    </w:p>
    <w:p>
      <w:pPr>
        <w:spacing w:before="280" w:after="80"/>
      </w:pPr>
      <w:r>
        <w:rPr>
          <w:rFonts w:ascii="Times New Roman" w:hAnsi="Times New Roman"/>
          <w:b/>
          <w:color w:val="000000"/>
          <w:sz w:val="22"/>
        </w:rPr>
        <w:t>References</w:t>
      </w:r>
    </w:p>
    <w:p>
      <w:pPr>
        <w:spacing w:after="60"/>
        <w:ind w:left="360" w:hanging="360"/>
      </w:pPr>
      <w:r>
        <w:rPr>
          <w:rFonts w:ascii="Times New Roman" w:hAnsi="Times New Roman"/>
          <w:sz w:val="18"/>
        </w:rPr>
        <w:t>1. [1] A. Esteva, B. Kuprel, R. A. Novoa, J. Ko, S. M. Swetter, H. M. Blau, and S. Thrun, 'Dermatologist-level classification of skin cancer with deep neural networks,' Nature, vol. 542, no. 7639, pp. 115-118, 2017.</w:t>
      </w:r>
    </w:p>
    <w:p>
      <w:pPr>
        <w:spacing w:after="60"/>
        <w:ind w:left="360" w:hanging="360"/>
      </w:pPr>
      <w:r>
        <w:rPr>
          <w:rFonts w:ascii="Times New Roman" w:hAnsi="Times New Roman"/>
          <w:sz w:val="18"/>
        </w:rPr>
        <w:t>2. [2] P. Tschandl, C. Rosendahl, and H. Kittler, 'The HAM10000 dataset, a large collection of multi-source dermatoscopic images of common pigmented skin lesions,' Scientific Data, vol. 5, no. 1, art. 180161, 2018.</w:t>
      </w:r>
    </w:p>
    <w:p>
      <w:pPr>
        <w:spacing w:after="60"/>
        <w:ind w:left="360" w:hanging="360"/>
      </w:pPr>
      <w:r>
        <w:rPr>
          <w:rFonts w:ascii="Times New Roman" w:hAnsi="Times New Roman"/>
          <w:sz w:val="18"/>
        </w:rPr>
        <w:t>3. [3] J. K. Tan and K. Bhate, 'A global perspective on the epidemiology of acne,' British Journal of Dermatology, vol. 172, pp. 3-12, 2015.</w:t>
      </w:r>
    </w:p>
    <w:p>
      <w:pPr>
        <w:spacing w:after="60"/>
        <w:ind w:left="360" w:hanging="360"/>
      </w:pPr>
      <w:r>
        <w:rPr>
          <w:rFonts w:ascii="Times New Roman" w:hAnsi="Times New Roman"/>
          <w:sz w:val="18"/>
        </w:rPr>
        <w:t>4. [4] N. C. F. Codella et al., 'Skin lesion analysis toward melanoma detection: A challenge at the 2017 International Symposium on Biomedical Imaging (ISBI), Hosted by the International Skin Imaging Collaboration (ISIC),' IEEE ISBI, pp. 168-172, 2018.</w:t>
      </w:r>
    </w:p>
    <w:p>
      <w:pPr>
        <w:spacing w:after="60"/>
        <w:ind w:left="360" w:hanging="360"/>
      </w:pPr>
      <w:r>
        <w:rPr>
          <w:rFonts w:ascii="Times New Roman" w:hAnsi="Times New Roman"/>
          <w:sz w:val="18"/>
        </w:rPr>
        <w:t>5. [5] T. J. Brinker et al., 'Deep learning outperformed 136 of 157 dermatologists in a head-to-head dermoscopic melanoma image classification task,' European Journal of Cancer, vol. 113, pp. 47-54, 2019.</w:t>
      </w:r>
    </w:p>
    <w:p>
      <w:pPr>
        <w:spacing w:after="60"/>
        <w:ind w:left="360" w:hanging="360"/>
      </w:pPr>
      <w:r>
        <w:rPr>
          <w:rFonts w:ascii="Times New Roman" w:hAnsi="Times New Roman"/>
          <w:sz w:val="18"/>
        </w:rPr>
        <w:t>6. [6] S. S. Amrutakavi, G. Bhattacharjee, P. Nath, and M. Prakash, 'Skyn: Personalized Skincare Advisor using Computer Vision and Cosine Similarity Matching,' Myntra HackerRamp Engineering Archive, GitHub: Randon-Myntra-HackerRamp-21/Skyn, 2021.</w:t>
      </w:r>
    </w:p>
    <w:p>
      <w:pPr>
        <w:spacing w:after="60"/>
        <w:ind w:left="360" w:hanging="360"/>
      </w:pPr>
      <w:r>
        <w:rPr>
          <w:rFonts w:ascii="Times New Roman" w:hAnsi="Times New Roman"/>
          <w:sz w:val="18"/>
        </w:rPr>
        <w:t>7. [7] V. Shah et al., 'A Recommendation System for Facial Skin Care Using Machine Learning Models,' International Journal of Research in Engineering and Technology, GitHub: vinit714/A-Recommendation-system-for-Facial-Skin-Care-using-Machine-Learning-Models, 2023.</w:t>
      </w:r>
    </w:p>
    <w:p>
      <w:pPr>
        <w:spacing w:after="60"/>
        <w:ind w:left="360" w:hanging="360"/>
      </w:pPr>
      <w:r>
        <w:rPr>
          <w:rFonts w:ascii="Times New Roman" w:hAnsi="Times New Roman"/>
          <w:sz w:val="18"/>
        </w:rPr>
        <w:t>8. [8] H. Sri, 'SkinAI: Multi-Agent Orchestration for Skin Analysis, Product Formulation, and Dietary Guidance,' GitHub: harshasri1011/Skin-Care-Recommendation, 2024.</w:t>
      </w:r>
    </w:p>
    <w:p>
      <w:pPr>
        <w:spacing w:after="60"/>
        <w:ind w:left="360" w:hanging="360"/>
      </w:pPr>
      <w:r>
        <w:rPr>
          <w:rFonts w:ascii="Times New Roman" w:hAnsi="Times New Roman"/>
          <w:sz w:val="18"/>
        </w:rPr>
        <w:t>9. [9] R. Ben Salem, 'Acnes: Visual Lesion Segmentation and Vision Transformer Severity Classification,' Hugging Face Space &amp; GitHub Archive: rihem-bs02/Acnes, 2024.</w:t>
      </w:r>
    </w:p>
    <w:p>
      <w:pPr>
        <w:spacing w:after="60"/>
        <w:ind w:left="360" w:hanging="360"/>
      </w:pPr>
      <w:r>
        <w:rPr>
          <w:rFonts w:ascii="Times New Roman" w:hAnsi="Times New Roman"/>
          <w:sz w:val="18"/>
        </w:rPr>
        <w:t>10. [10] J. Shen, 'Acne Severity Classification: Evaluating Generalization Across Deduplicated Frontal Face Datasets,' UC Berkeley SAAS Technical Report, GitHub: Justinshen23/acne-severity-classification, 2024.</w:t>
      </w:r>
    </w:p>
    <w:p>
      <w:pPr>
        <w:spacing w:after="60"/>
        <w:ind w:left="360" w:hanging="360"/>
      </w:pPr>
      <w:r>
        <w:rPr>
          <w:rFonts w:ascii="Times New Roman" w:hAnsi="Times New Roman"/>
          <w:sz w:val="18"/>
        </w:rPr>
        <w:t>11. [11] T. Ridnik, E. Ben-Baruch, N. Zamir, A. Noy, I. Friedman, M. Protter, and L. Zelnik-Manor, 'Asymmetric Loss For Multi-Label Classification,' IEEE/CVF ICCV, pp. 82-91, 2021.</w:t>
      </w:r>
    </w:p>
    <w:p>
      <w:pPr>
        <w:spacing w:after="60"/>
        <w:ind w:left="360" w:hanging="360"/>
      </w:pPr>
      <w:r>
        <w:rPr>
          <w:rFonts w:ascii="Times New Roman" w:hAnsi="Times New Roman"/>
          <w:sz w:val="18"/>
        </w:rPr>
        <w:t>12. [12] R. R. Selvaraju, M. Cogswell, A. Das, R. Vedantam, D. Parikh, and D. Batra, 'Grad-CAM: Visual Explanations from Deep Networks via Gradient-Based Localization,' IEEE ICCV, pp. 618-626, 2017.</w:t>
      </w:r>
    </w:p>
    <w:p>
      <w:pPr>
        <w:spacing w:after="60"/>
        <w:ind w:left="360" w:hanging="360"/>
      </w:pPr>
      <w:r>
        <w:rPr>
          <w:rFonts w:ascii="Times New Roman" w:hAnsi="Times New Roman"/>
          <w:sz w:val="18"/>
        </w:rPr>
        <w:t>13. [13] M. A. Kassem, K. M. Hosny, R. Damasevicius, and S. E. M. El-Ghamry, 'Machine learning and deep learning methods for skin lesion classification and diagnosis: A systematic review,' Diagnostics, vol. 11, no. 8, art. 1390, 2021.</w:t>
      </w:r>
    </w:p>
    <w:p>
      <w:pPr>
        <w:spacing w:after="60"/>
        <w:ind w:left="360" w:hanging="360"/>
      </w:pPr>
      <w:r>
        <w:rPr>
          <w:rFonts w:ascii="Times New Roman" w:hAnsi="Times New Roman"/>
          <w:sz w:val="18"/>
        </w:rPr>
        <w:t>14. [14] M. Tan and Q. V. Le, 'EfficientNet: Rethinking model scaling for convolutional neural networks,' International Conference on Machine Learning (ICML), PMLR, pp. 6105-6114, 2019.</w:t>
      </w:r>
    </w:p>
    <w:p>
      <w:pPr>
        <w:spacing w:after="60"/>
        <w:ind w:left="360" w:hanging="360"/>
      </w:pPr>
      <w:r>
        <w:rPr>
          <w:rFonts w:ascii="Times New Roman" w:hAnsi="Times New Roman"/>
          <w:sz w:val="18"/>
        </w:rPr>
        <w:t>15. [15] K. He, X. Zhang, S. Ren, and J. Sun, 'Deep residual learning for image recognition,' IEEE CVPR, pp. 770-778, 2016.</w:t>
      </w:r>
    </w:p>
    <w:p>
      <w:pPr>
        <w:spacing w:after="60"/>
        <w:ind w:left="360" w:hanging="360"/>
      </w:pPr>
      <w:r>
        <w:rPr>
          <w:rFonts w:ascii="Times New Roman" w:hAnsi="Times New Roman"/>
          <w:sz w:val="18"/>
        </w:rPr>
        <w:t>16. [16] H. K. Jeong, C. Park, R. Henao, and M. Kheterpal, 'Deep learning in dermatology: A systematic review of current approaches, outcomes, and limitations,' JID Innovations, vol. 3, no. 1, art. 100150, 2023.</w:t>
      </w:r>
    </w:p>
    <w:p>
      <w:pPr>
        <w:spacing w:after="60"/>
        <w:ind w:left="360" w:hanging="360"/>
      </w:pPr>
      <w:r>
        <w:rPr>
          <w:rFonts w:ascii="Times New Roman" w:hAnsi="Times New Roman"/>
          <w:sz w:val="18"/>
        </w:rPr>
        <w:t>17. [17] S. M. Pizer et al., 'Adaptive histogram equalization and its variations,' Computer Vision, Graphics, and Image Processing, vol. 39, no. 3, pp. 355-368, 1987.</w:t>
      </w:r>
    </w:p>
    <w:p>
      <w:pPr>
        <w:spacing w:after="60"/>
        <w:ind w:left="360" w:hanging="360"/>
      </w:pPr>
      <w:r>
        <w:rPr>
          <w:rFonts w:ascii="Times New Roman" w:hAnsi="Times New Roman"/>
          <w:sz w:val="18"/>
        </w:rPr>
        <w:t>18. [18] Z. Liu et al., 'Large-scale CelebFaces Attributes (CelebA) Dataset,' IEEE ICCV, 2015.</w:t>
      </w:r>
    </w:p>
    <w:p>
      <w:pPr>
        <w:spacing w:after="60"/>
        <w:ind w:left="360" w:hanging="360"/>
      </w:pPr>
      <w:r>
        <w:rPr>
          <w:rFonts w:ascii="Times New Roman" w:hAnsi="Times New Roman"/>
          <w:sz w:val="18"/>
        </w:rPr>
        <w:t>19. [19] F. Chollet, 'Xception: Deep learning with depthwise separable convolutions,' IEEE CVPR, pp. 1251-1258, 2017.</w:t>
      </w:r>
    </w:p>
    <w:p>
      <w:pPr>
        <w:spacing w:after="60"/>
        <w:ind w:left="360" w:hanging="360"/>
      </w:pPr>
      <w:r>
        <w:rPr>
          <w:rFonts w:ascii="Times New Roman" w:hAnsi="Times New Roman"/>
          <w:sz w:val="18"/>
        </w:rPr>
        <w:t>20. [20] A. Howard et al., 'Searching for MobileNetV3,' IEEE/CVF ICCV, pp. 1314-1324,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