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1A56DB"/>
          <w:sz w:val="72"/>
          <w:szCs w:val="72"/>
        </w:rPr>
        <w:t xml:space="preserve">CodeFlowX+</w:t>
      </w:r>
    </w:p>
    <w:p>
      <w:pPr>
        <w:spacing w:before="0" w:after="240"/>
        <w:jc w:val="center"/>
      </w:pPr>
      <w:r>
        <w:rPr>
          <w:rFonts w:ascii="Arial" w:cs="Arial" w:eastAsia="Arial" w:hAnsi="Arial"/>
          <w:i/>
          <w:iCs/>
          <w:color w:val="7C3AED"/>
          <w:sz w:val="36"/>
          <w:szCs w:val="36"/>
        </w:rPr>
        <w:t xml:space="preserve">Full Feature Documentation</w:t>
      </w:r>
    </w:p>
    <w:p>
      <w:pPr>
        <w:pBdr>
          <w:bottom w:val="single" w:color="1A56DB" w:sz="8" w:space="1"/>
        </w:pBdr>
        <w:spacing w:before="0" w:after="240"/>
        <w:jc w:val="center"/>
      </w:pPr>
      <w:r>
        <w:t xml:space="preserve"/>
      </w:r>
    </w:p>
    <w:p>
      <w:pPr>
        <w:spacing w:before="0" w:after="0"/>
      </w:pPr>
      <w:r>
        <w:t xml:space="preserve"/>
      </w:r>
    </w:p>
    <w:p>
      <w:pPr>
        <w:spacing w:before="0" w:after="80"/>
        <w:jc w:val="center"/>
      </w:pPr>
      <w:r>
        <w:rPr>
          <w:rFonts w:ascii="Arial" w:cs="Arial" w:eastAsia="Arial" w:hAnsi="Arial"/>
          <w:color w:val="1F2937"/>
          <w:sz w:val="28"/>
          <w:szCs w:val="28"/>
        </w:rPr>
        <w:t xml:space="preserve">Advanced Code Understanding Platform</w:t>
      </w:r>
    </w:p>
    <w:p>
      <w:pPr>
        <w:spacing w:before="0" w:after="480"/>
        <w:jc w:val="center"/>
      </w:pPr>
      <w:r>
        <w:rPr>
          <w:rFonts w:ascii="Arial" w:cs="Arial" w:eastAsia="Arial" w:hAnsi="Arial"/>
          <w:i/>
          <w:iCs/>
          <w:color w:val="6B7280"/>
          <w:sz w:val="22"/>
          <w:szCs w:val="22"/>
        </w:rPr>
        <w:t xml:space="preserve">Visualize · Simulate · Analyze · Understand</w:t>
      </w:r>
    </w:p>
    <w:p>
      <w:pPr>
        <w:spacing w:before="0" w:after="0"/>
      </w:pPr>
      <w:r>
        <w:t xml:space="preserve"/>
      </w:r>
    </w:p>
    <w:p>
      <w:pPr>
        <w:spacing w:before="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Version</w:t>
            </w:r>
          </w:p>
        </w:tc>
        <w:tc>
          <w:tcPr>
            <w:tcW w:type="dxa" w:w="27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1.0 (Concept Draft)</w:t>
            </w:r>
          </w:p>
        </w:tc>
      </w:tr>
      <w:tr>
        <w:tc>
          <w:tcPr>
            <w:tcW w:type="dxa" w:w="27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Status</w:t>
            </w:r>
          </w:p>
        </w:tc>
        <w:tc>
          <w:tcPr>
            <w:tcW w:type="dxa" w:w="27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Concept / Pre-Development</w:t>
            </w:r>
          </w:p>
        </w:tc>
      </w:tr>
      <w:tr>
        <w:tc>
          <w:tcPr>
            <w:tcW w:type="dxa" w:w="27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License</w:t>
            </w:r>
          </w:p>
        </w:tc>
        <w:tc>
          <w:tcPr>
            <w:tcW w:type="dxa" w:w="27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MIT (Open Source)</w:t>
            </w:r>
          </w:p>
        </w:tc>
      </w:tr>
      <w:tr>
        <w:tc>
          <w:tcPr>
            <w:tcW w:type="dxa" w:w="27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Date</w:t>
            </w:r>
          </w:p>
        </w:tc>
        <w:tc>
          <w:tcPr>
            <w:tcW w:type="dxa" w:w="27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2026</w:t>
            </w:r>
          </w:p>
        </w:tc>
      </w:tr>
    </w:tbl>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i/>
          <w:iCs/>
          <w:color w:val="6B7280"/>
          <w:sz w:val="18"/>
          <w:szCs w:val="18"/>
        </w:rPr>
        <w:t xml:space="preserve">Confidential — For Technical Review &amp; Collaboration</w:t>
      </w:r>
    </w:p>
    <w:p>
      <w:r>
        <w:br w:type="page"/>
      </w:r>
    </w:p>
    <w:p>
      <w:pPr>
        <w:sectPr>
          <w:pgSz w:w="12240" w:h="15840" w:orient="portrait"/>
          <w:pgMar w:top="1440" w:right="1440" w:bottom="1440" w:left="1440" w:header="708" w:footer="708" w:gutter="0"/>
          <w:pgNumType/>
          <w:docGrid w:linePitch="360"/>
        </w:sectPr>
      </w:pPr>
    </w:p>
    <w:p>
      <w:pPr>
        <w:spacing w:before="0" w:after="240"/>
        <w:jc w:val="center"/>
      </w:pPr>
      <w:r>
        <w:rPr>
          <w:rFonts w:ascii="Arial" w:cs="Arial" w:eastAsia="Arial" w:hAnsi="Arial"/>
          <w:b/>
          <w:bCs/>
          <w:color w:val="1E3A8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1A56DB" w:sz="6" w:space="1"/>
        </w:pBdr>
        <w:spacing w:before="320" w:after="160"/>
      </w:pPr>
      <w:r>
        <w:rPr>
          <w:rFonts w:ascii="Arial" w:cs="Arial" w:eastAsia="Arial" w:hAnsi="Arial"/>
          <w:b/>
          <w:bCs/>
          <w:color w:val="1E3A8A"/>
          <w:sz w:val="32"/>
          <w:szCs w:val="32"/>
        </w:rPr>
        <w:t xml:space="preserve">1. Executive Summary</w:t>
      </w:r>
    </w:p>
    <w:p>
      <w:pPr>
        <w:spacing w:before="80" w:after="80"/>
      </w:pPr>
      <w:r>
        <w:rPr>
          <w:rFonts w:ascii="Arial" w:cs="Arial" w:eastAsia="Arial" w:hAnsi="Arial"/>
          <w:color w:val="1F2937"/>
          <w:sz w:val="22"/>
          <w:szCs w:val="22"/>
        </w:rPr>
        <w:t xml:space="preserve">CodeFlowX+ is an open-source, advanced code understanding platform designed to help developers, students, and engineers deeply comprehend code behavior — not just read it. By combining four powerful subsystems — Code-to-Flowchart Conversion, Execution Simulation, Dependency Mapping, and Coverage Heatmapping — CodeFlowX+ transforms raw source code into rich, interactive visual insights.</w:t>
      </w:r>
    </w:p>
    <w:p>
      <w:pPr>
        <w:spacing w:before="80" w:after="80"/>
      </w:pPr>
      <w:r>
        <w:rPr>
          <w:rFonts w:ascii="Arial" w:cs="Arial" w:eastAsia="Arial" w:hAnsi="Arial"/>
          <w:color w:val="1F2937"/>
          <w:sz w:val="22"/>
          <w:szCs w:val="22"/>
        </w:rPr>
        <w:t xml:space="preserve">Unlike standalone code viewers or basic linters, CodeFlowX+ creates a unified, cross-linked workspace where every visual representation is connected to every other. Clicking a function in the Dependency Graph opens its Flowchart. Running the Execution Visualizer highlights active nodes in the Dependency Graph simultaneously. Coverage overlays appear directly on top of Flowcharts. This integrated approach enables users to understand not just what code does, but how, why, and where it might fail.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  Mission Statement</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To make code universally understandable — through visualization, simulation, and analysis —</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empowering developers and learners to build, debug, and reason about software with confidence.</w:t>
            </w:r>
          </w:p>
        </w:tc>
      </w:tr>
    </w:tbl>
    <w:p>
      <w:pPr>
        <w:spacing w:before="0" w:after="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2. Problem Statement</w:t>
      </w:r>
    </w:p>
    <w:p>
      <w:pPr>
        <w:spacing w:before="80" w:after="80"/>
      </w:pPr>
      <w:r>
        <w:rPr>
          <w:rFonts w:ascii="Arial" w:cs="Arial" w:eastAsia="Arial" w:hAnsi="Arial"/>
          <w:color w:val="1F2937"/>
          <w:sz w:val="22"/>
          <w:szCs w:val="22"/>
        </w:rPr>
        <w:t xml:space="preserve">Modern software development faces a persistent challenge: code is written for machines to execute, but humans must understand it. This creates a fundamental comprehension gap that leads to:</w:t>
      </w:r>
    </w:p>
    <w:p>
      <w:pPr>
        <w:pStyle w:val="ListParagraph"/>
        <w:numPr>
          <w:ilvl w:val="0"/>
          <w:numId w:val="2"/>
        </w:numPr>
        <w:spacing w:before="60" w:after="60"/>
      </w:pPr>
      <w:r>
        <w:rPr>
          <w:rFonts w:ascii="Arial" w:cs="Arial" w:eastAsia="Arial" w:hAnsi="Arial"/>
          <w:color w:val="1F2937"/>
          <w:sz w:val="22"/>
          <w:szCs w:val="22"/>
        </w:rPr>
        <w:t xml:space="preserve">Slow onboarding — New developers spend weeks or months navigating unfamiliar codebases.</w:t>
      </w:r>
    </w:p>
    <w:p>
      <w:pPr>
        <w:pStyle w:val="ListParagraph"/>
        <w:numPr>
          <w:ilvl w:val="0"/>
          <w:numId w:val="2"/>
        </w:numPr>
        <w:spacing w:before="60" w:after="60"/>
      </w:pPr>
      <w:r>
        <w:rPr>
          <w:rFonts w:ascii="Arial" w:cs="Arial" w:eastAsia="Arial" w:hAnsi="Arial"/>
          <w:color w:val="1F2937"/>
          <w:sz w:val="22"/>
          <w:szCs w:val="22"/>
        </w:rPr>
        <w:t xml:space="preserve">Debugging inefficiency — Engineers trace execution paths manually, wasting hours on root cause analysis.</w:t>
      </w:r>
    </w:p>
    <w:p>
      <w:pPr>
        <w:pStyle w:val="ListParagraph"/>
        <w:numPr>
          <w:ilvl w:val="0"/>
          <w:numId w:val="2"/>
        </w:numPr>
        <w:spacing w:before="60" w:after="60"/>
      </w:pPr>
      <w:r>
        <w:rPr>
          <w:rFonts w:ascii="Arial" w:cs="Arial" w:eastAsia="Arial" w:hAnsi="Arial"/>
          <w:color w:val="1F2937"/>
          <w:sz w:val="22"/>
          <w:szCs w:val="22"/>
        </w:rPr>
        <w:t xml:space="preserve">Poor code review quality — Reviewers miss logic errors hidden in complex conditional branches.</w:t>
      </w:r>
    </w:p>
    <w:p>
      <w:pPr>
        <w:pStyle w:val="ListParagraph"/>
        <w:numPr>
          <w:ilvl w:val="0"/>
          <w:numId w:val="2"/>
        </w:numPr>
        <w:spacing w:before="60" w:after="60"/>
      </w:pPr>
      <w:r>
        <w:rPr>
          <w:rFonts w:ascii="Arial" w:cs="Arial" w:eastAsia="Arial" w:hAnsi="Arial"/>
          <w:color w:val="1F2937"/>
          <w:sz w:val="22"/>
          <w:szCs w:val="22"/>
        </w:rPr>
        <w:t xml:space="preserve">Knowledge silos — Tribal knowledge lives in people's heads, not in the code itself.</w:t>
      </w:r>
    </w:p>
    <w:p>
      <w:pPr>
        <w:pStyle w:val="ListParagraph"/>
        <w:numPr>
          <w:ilvl w:val="0"/>
          <w:numId w:val="2"/>
        </w:numPr>
        <w:spacing w:before="60" w:after="60"/>
      </w:pPr>
      <w:r>
        <w:rPr>
          <w:rFonts w:ascii="Arial" w:cs="Arial" w:eastAsia="Arial" w:hAnsi="Arial"/>
          <w:color w:val="1F2937"/>
          <w:sz w:val="22"/>
          <w:szCs w:val="22"/>
        </w:rPr>
        <w:t xml:space="preserve">Testing blindspots — Uncovered code paths cause production failures that could have been caught earlier.</w:t>
      </w:r>
    </w:p>
    <w:p>
      <w:pPr>
        <w:spacing w:before="0" w:after="0"/>
      </w:pPr>
      <w:r>
        <w:t xml:space="preserve"/>
      </w:r>
    </w:p>
    <w:p>
      <w:pPr>
        <w:spacing w:before="80" w:after="80"/>
      </w:pPr>
      <w:r>
        <w:rPr>
          <w:rFonts w:ascii="Arial" w:cs="Arial" w:eastAsia="Arial" w:hAnsi="Arial"/>
          <w:color w:val="1F2937"/>
          <w:sz w:val="22"/>
          <w:szCs w:val="22"/>
        </w:rPr>
        <w:t xml:space="preserve">Existing tools address these problems in isolation: linters check style, debuggers show runtime state, documentation generators produce static text. No single platform currently unifies visual flowcharting, live execution simulation, dependency mapping, and coverage analysis into one coherent, interactive experience.</w:t>
      </w:r>
    </w:p>
    <w:p>
      <w:pPr>
        <w:spacing w:before="80" w:after="80"/>
      </w:pPr>
      <w:r>
        <w:rPr>
          <w:rFonts w:ascii="Arial" w:cs="Arial" w:eastAsia="Arial" w:hAnsi="Arial"/>
          <w:color w:val="1F2937"/>
          <w:sz w:val="22"/>
          <w:szCs w:val="22"/>
        </w:rPr>
        <w:t xml:space="preserve">CodeFlowX+ fills this gap.</w:t>
      </w:r>
    </w:p>
    <w:p>
      <w:pPr>
        <w:spacing w:before="0" w:after="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3. Core Features</w:t>
      </w:r>
    </w:p>
    <w:p>
      <w:pPr>
        <w:pStyle w:val="Heading2"/>
        <w:spacing w:before="240" w:after="120"/>
      </w:pPr>
      <w:r>
        <w:rPr>
          <w:rFonts w:ascii="Arial" w:cs="Arial" w:eastAsia="Arial" w:hAnsi="Arial"/>
          <w:b/>
          <w:bCs/>
          <w:color w:val="1A56DB"/>
          <w:sz w:val="26"/>
          <w:szCs w:val="26"/>
        </w:rPr>
        <w:t xml:space="preserve">3.1 Code-to-Flowchart Conversion</w:t>
      </w:r>
    </w:p>
    <w:p>
      <w:pPr>
        <w:spacing w:before="80" w:after="80"/>
      </w:pPr>
      <w:r>
        <w:rPr>
          <w:rFonts w:ascii="Arial" w:cs="Arial" w:eastAsia="Arial" w:hAnsi="Arial"/>
          <w:color w:val="1F2937"/>
          <w:sz w:val="22"/>
          <w:szCs w:val="22"/>
        </w:rPr>
        <w:t xml:space="preserve">The Flowchart Engine parses source code into an Abstract Syntax Tree (AST) using Tree-sitter, then converts the AST into an Intermediate Representation (IR) that drives flowchart generation. The output is a structured, semantically meaningful diagram — not a generic box-and-arrow sketch.</w:t>
      </w:r>
    </w:p>
    <w:p>
      <w:pPr>
        <w:pStyle w:val="Heading3"/>
        <w:spacing w:before="200" w:after="80"/>
      </w:pPr>
      <w:r>
        <w:rPr>
          <w:rFonts w:ascii="Arial" w:cs="Arial" w:eastAsia="Arial" w:hAnsi="Arial"/>
          <w:b/>
          <w:bCs/>
          <w:color w:val="7C3AED"/>
          <w:sz w:val="22"/>
          <w:szCs w:val="22"/>
        </w:rPr>
        <w:t xml:space="preserve">How It Works</w:t>
      </w:r>
    </w:p>
    <w:p>
      <w:pPr>
        <w:pStyle w:val="ListParagraph"/>
        <w:numPr>
          <w:ilvl w:val="0"/>
          <w:numId w:val="3"/>
        </w:numPr>
        <w:spacing w:before="60" w:after="60"/>
      </w:pPr>
      <w:r>
        <w:rPr>
          <w:rFonts w:ascii="Arial" w:cs="Arial" w:eastAsia="Arial" w:hAnsi="Arial"/>
          <w:color w:val="1F2937"/>
          <w:sz w:val="22"/>
          <w:szCs w:val="22"/>
        </w:rPr>
        <w:t xml:space="preserve">Source code is submitted via the editor or GitHub import.</w:t>
      </w:r>
    </w:p>
    <w:p>
      <w:pPr>
        <w:pStyle w:val="ListParagraph"/>
        <w:numPr>
          <w:ilvl w:val="0"/>
          <w:numId w:val="3"/>
        </w:numPr>
        <w:spacing w:before="60" w:after="60"/>
      </w:pPr>
      <w:r>
        <w:rPr>
          <w:rFonts w:ascii="Arial" w:cs="Arial" w:eastAsia="Arial" w:hAnsi="Arial"/>
          <w:color w:val="1F2937"/>
          <w:sz w:val="22"/>
          <w:szCs w:val="22"/>
        </w:rPr>
        <w:t xml:space="preserve">Tree-sitter parses the code into a language-aware AST.</w:t>
      </w:r>
    </w:p>
    <w:p>
      <w:pPr>
        <w:pStyle w:val="ListParagraph"/>
        <w:numPr>
          <w:ilvl w:val="0"/>
          <w:numId w:val="3"/>
        </w:numPr>
        <w:spacing w:before="60" w:after="60"/>
      </w:pPr>
      <w:r>
        <w:rPr>
          <w:rFonts w:ascii="Arial" w:cs="Arial" w:eastAsia="Arial" w:hAnsi="Arial"/>
          <w:color w:val="1F2937"/>
          <w:sz w:val="22"/>
          <w:szCs w:val="22"/>
        </w:rPr>
        <w:t xml:space="preserve">The AST Transformer converts the tree into CodeFlowX+ IR nodes.</w:t>
      </w:r>
    </w:p>
    <w:p>
      <w:pPr>
        <w:pStyle w:val="ListParagraph"/>
        <w:numPr>
          <w:ilvl w:val="0"/>
          <w:numId w:val="3"/>
        </w:numPr>
        <w:spacing w:before="60" w:after="60"/>
      </w:pPr>
      <w:r>
        <w:rPr>
          <w:rFonts w:ascii="Arial" w:cs="Arial" w:eastAsia="Arial" w:hAnsi="Arial"/>
          <w:color w:val="1F2937"/>
          <w:sz w:val="22"/>
          <w:szCs w:val="22"/>
        </w:rPr>
        <w:t xml:space="preserve">The Flowchart Renderer maps IR nodes to visual blocks — start/end terminators, process boxes, decision diamonds, loop back-edges, and function call connectors.</w:t>
      </w:r>
    </w:p>
    <w:p>
      <w:pPr>
        <w:pStyle w:val="ListParagraph"/>
        <w:numPr>
          <w:ilvl w:val="0"/>
          <w:numId w:val="3"/>
        </w:numPr>
        <w:spacing w:before="60" w:after="60"/>
      </w:pPr>
      <w:r>
        <w:rPr>
          <w:rFonts w:ascii="Arial" w:cs="Arial" w:eastAsia="Arial" w:hAnsi="Arial"/>
          <w:color w:val="1F2937"/>
          <w:sz w:val="22"/>
          <w:szCs w:val="22"/>
        </w:rPr>
        <w:t xml:space="preserve">The result is rendered in the frontend using a React Flow canvas with drag-and-zoom support.</w:t>
      </w:r>
    </w:p>
    <w:p>
      <w:pPr>
        <w:pStyle w:val="Heading3"/>
        <w:spacing w:before="200" w:after="80"/>
      </w:pPr>
      <w:r>
        <w:rPr>
          <w:rFonts w:ascii="Arial" w:cs="Arial" w:eastAsia="Arial" w:hAnsi="Arial"/>
          <w:b/>
          <w:bCs/>
          <w:color w:val="7C3AED"/>
          <w:sz w:val="22"/>
          <w:szCs w:val="22"/>
        </w:rPr>
        <w:t xml:space="preserve">Supported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1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Function Definition</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Generates a named function block with entry/exit connectors</w:t>
            </w:r>
          </w:p>
        </w:tc>
      </w:tr>
      <w:tr>
        <w:tc>
          <w:tcPr>
            <w:tcW w:type="dxa" w:w="3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If / Else / Elif</w:t>
            </w:r>
          </w:p>
        </w:tc>
        <w:tc>
          <w:tcPr>
            <w:tcW w:type="dxa" w:w="61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Generates a decision diamond with true/false branches</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For / While Loop</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Generates loop body with back-edge arrow and loop condition diamond</w:t>
            </w:r>
          </w:p>
        </w:tc>
      </w:tr>
      <w:tr>
        <w:tc>
          <w:tcPr>
            <w:tcW w:type="dxa" w:w="3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Return Statement</w:t>
            </w:r>
          </w:p>
        </w:tc>
        <w:tc>
          <w:tcPr>
            <w:tcW w:type="dxa" w:w="61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Connects to the function exit terminal</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Function Call</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Generates a rounded-corner subprocess block with a link to the callee's flowchart</w:t>
            </w:r>
          </w:p>
        </w:tc>
      </w:tr>
      <w:tr>
        <w:tc>
          <w:tcPr>
            <w:tcW w:type="dxa" w:w="3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Try / Catch / Finally</w:t>
            </w:r>
          </w:p>
        </w:tc>
        <w:tc>
          <w:tcPr>
            <w:tcW w:type="dxa" w:w="61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Generates error-handling branches with fault edges</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Class Method</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Supported as an encapsulated function with class context label</w:t>
            </w:r>
          </w:p>
        </w:tc>
      </w:tr>
    </w:tbl>
    <w:p>
      <w:pPr>
        <w:spacing w:before="0" w:after="0"/>
      </w:pPr>
      <w:r>
        <w:t xml:space="preserve"/>
      </w:r>
    </w:p>
    <w:p>
      <w:pPr>
        <w:pStyle w:val="Heading3"/>
        <w:spacing w:before="200" w:after="80"/>
      </w:pPr>
      <w:r>
        <w:rPr>
          <w:rFonts w:ascii="Arial" w:cs="Arial" w:eastAsia="Arial" w:hAnsi="Arial"/>
          <w:b/>
          <w:bCs/>
          <w:color w:val="7C3AED"/>
          <w:sz w:val="22"/>
          <w:szCs w:val="22"/>
        </w:rPr>
        <w:t xml:space="preserve">Supported Languages (Phase 1)</w:t>
      </w:r>
    </w:p>
    <w:p>
      <w:pPr>
        <w:pStyle w:val="ListParagraph"/>
        <w:numPr>
          <w:ilvl w:val="0"/>
          <w:numId w:val="2"/>
        </w:numPr>
        <w:spacing w:before="60" w:after="60"/>
      </w:pPr>
      <w:r>
        <w:rPr>
          <w:rFonts w:ascii="Arial" w:cs="Arial" w:eastAsia="Arial" w:hAnsi="Arial"/>
          <w:color w:val="1F2937"/>
          <w:sz w:val="22"/>
          <w:szCs w:val="22"/>
        </w:rPr>
        <w:t xml:space="preserve">Python 3.x</w:t>
      </w:r>
    </w:p>
    <w:p>
      <w:pPr>
        <w:pStyle w:val="ListParagraph"/>
        <w:numPr>
          <w:ilvl w:val="0"/>
          <w:numId w:val="2"/>
        </w:numPr>
        <w:spacing w:before="60" w:after="60"/>
      </w:pPr>
      <w:r>
        <w:rPr>
          <w:rFonts w:ascii="Arial" w:cs="Arial" w:eastAsia="Arial" w:hAnsi="Arial"/>
          <w:color w:val="1F2937"/>
          <w:sz w:val="22"/>
          <w:szCs w:val="22"/>
        </w:rPr>
        <w:t xml:space="preserve">JavaScript / TypeScript (ES2020+)</w:t>
      </w:r>
    </w:p>
    <w:p>
      <w:pPr>
        <w:pStyle w:val="ListParagraph"/>
        <w:numPr>
          <w:ilvl w:val="0"/>
          <w:numId w:val="2"/>
        </w:numPr>
        <w:spacing w:before="60" w:after="60"/>
      </w:pPr>
      <w:r>
        <w:rPr>
          <w:rFonts w:ascii="Arial" w:cs="Arial" w:eastAsia="Arial" w:hAnsi="Arial"/>
          <w:color w:val="1F2937"/>
          <w:sz w:val="22"/>
          <w:szCs w:val="22"/>
        </w:rPr>
        <w:t xml:space="preserve">Java 11+</w:t>
      </w:r>
    </w:p>
    <w:p>
      <w:pPr>
        <w:pStyle w:val="ListParagraph"/>
        <w:numPr>
          <w:ilvl w:val="0"/>
          <w:numId w:val="2"/>
        </w:numPr>
        <w:spacing w:before="60" w:after="60"/>
      </w:pPr>
      <w:r>
        <w:rPr>
          <w:rFonts w:ascii="Arial" w:cs="Arial" w:eastAsia="Arial" w:hAnsi="Arial"/>
          <w:color w:val="1F2937"/>
          <w:sz w:val="22"/>
          <w:szCs w:val="22"/>
        </w:rPr>
        <w:t xml:space="preserve">C / C++ (planned Phase 2)</w:t>
      </w:r>
    </w:p>
    <w:p>
      <w:pPr>
        <w:pStyle w:val="ListParagraph"/>
        <w:numPr>
          <w:ilvl w:val="0"/>
          <w:numId w:val="2"/>
        </w:numPr>
        <w:spacing w:before="60" w:after="60"/>
      </w:pPr>
      <w:r>
        <w:rPr>
          <w:rFonts w:ascii="Arial" w:cs="Arial" w:eastAsia="Arial" w:hAnsi="Arial"/>
          <w:color w:val="1F2937"/>
          <w:sz w:val="22"/>
          <w:szCs w:val="22"/>
        </w:rPr>
        <w:t xml:space="preserve">Go, Rust (future roadmap)</w:t>
      </w:r>
    </w:p>
    <w:p>
      <w:pPr>
        <w:spacing w:before="0" w:after="0"/>
      </w:pPr>
      <w:r>
        <w:t xml:space="preserve"/>
      </w:r>
    </w:p>
    <w:p>
      <w:pPr>
        <w:pStyle w:val="Heading2"/>
        <w:spacing w:before="240" w:after="120"/>
      </w:pPr>
      <w:r>
        <w:rPr>
          <w:rFonts w:ascii="Arial" w:cs="Arial" w:eastAsia="Arial" w:hAnsi="Arial"/>
          <w:b/>
          <w:bCs/>
          <w:color w:val="1A56DB"/>
          <w:sz w:val="26"/>
          <w:szCs w:val="26"/>
        </w:rPr>
        <w:t xml:space="preserve">3.2 Execution Visualizer</w:t>
      </w:r>
    </w:p>
    <w:p>
      <w:pPr>
        <w:spacing w:before="80" w:after="80"/>
      </w:pPr>
      <w:r>
        <w:rPr>
          <w:rFonts w:ascii="Arial" w:cs="Arial" w:eastAsia="Arial" w:hAnsi="Arial"/>
          <w:color w:val="1F2937"/>
          <w:sz w:val="22"/>
          <w:szCs w:val="22"/>
        </w:rPr>
        <w:t xml:space="preserve">The Execution Visualizer simulates code execution step-by-step, displaying the live state of variables, the currently active node in the flowchart, the decision path taken at each branch, and the call stack depth — all without actually running the code in a real environment.</w:t>
      </w:r>
    </w:p>
    <w:p>
      <w:pPr>
        <w:pStyle w:val="Heading3"/>
        <w:spacing w:before="200" w:after="80"/>
      </w:pPr>
      <w:r>
        <w:rPr>
          <w:rFonts w:ascii="Arial" w:cs="Arial" w:eastAsia="Arial" w:hAnsi="Arial"/>
          <w:b/>
          <w:bCs/>
          <w:color w:val="7C3AED"/>
          <w:sz w:val="22"/>
          <w:szCs w:val="22"/>
        </w:rPr>
        <w:t xml:space="preserve">Key Capabilities</w:t>
      </w:r>
    </w:p>
    <w:p>
      <w:pPr>
        <w:pStyle w:val="ListParagraph"/>
        <w:numPr>
          <w:ilvl w:val="0"/>
          <w:numId w:val="2"/>
        </w:numPr>
        <w:spacing w:before="60" w:after="60"/>
      </w:pPr>
      <w:r>
        <w:rPr>
          <w:rFonts w:ascii="Arial" w:cs="Arial" w:eastAsia="Arial" w:hAnsi="Arial"/>
          <w:color w:val="1F2937"/>
          <w:sz w:val="22"/>
          <w:szCs w:val="22"/>
        </w:rPr>
        <w:t xml:space="preserve">Step Forward / Backward: Navigate execution one statement at a time.</w:t>
      </w:r>
    </w:p>
    <w:p>
      <w:pPr>
        <w:pStyle w:val="ListParagraph"/>
        <w:numPr>
          <w:ilvl w:val="0"/>
          <w:numId w:val="2"/>
        </w:numPr>
        <w:spacing w:before="60" w:after="60"/>
      </w:pPr>
      <w:r>
        <w:rPr>
          <w:rFonts w:ascii="Arial" w:cs="Arial" w:eastAsia="Arial" w:hAnsi="Arial"/>
          <w:color w:val="1F2937"/>
          <w:sz w:val="22"/>
          <w:szCs w:val="22"/>
        </w:rPr>
        <w:t xml:space="preserve">Variable Watch Panel: Displays all in-scope variables and their current values at each step.</w:t>
      </w:r>
    </w:p>
    <w:p>
      <w:pPr>
        <w:pStyle w:val="ListParagraph"/>
        <w:numPr>
          <w:ilvl w:val="0"/>
          <w:numId w:val="2"/>
        </w:numPr>
        <w:spacing w:before="60" w:after="60"/>
      </w:pPr>
      <w:r>
        <w:rPr>
          <w:rFonts w:ascii="Arial" w:cs="Arial" w:eastAsia="Arial" w:hAnsi="Arial"/>
          <w:color w:val="1F2937"/>
          <w:sz w:val="22"/>
          <w:szCs w:val="22"/>
        </w:rPr>
        <w:t xml:space="preserve">Active Node Highlighting: The currently executing flowchart node is highlighted in real-time.</w:t>
      </w:r>
    </w:p>
    <w:p>
      <w:pPr>
        <w:pStyle w:val="ListParagraph"/>
        <w:numPr>
          <w:ilvl w:val="0"/>
          <w:numId w:val="2"/>
        </w:numPr>
        <w:spacing w:before="60" w:after="60"/>
      </w:pPr>
      <w:r>
        <w:rPr>
          <w:rFonts w:ascii="Arial" w:cs="Arial" w:eastAsia="Arial" w:hAnsi="Arial"/>
          <w:color w:val="1F2937"/>
          <w:sz w:val="22"/>
          <w:szCs w:val="22"/>
        </w:rPr>
        <w:t xml:space="preserve">Branch Path Tracing: Decision paths (true/false) are highlighted on the flowchart as execution proceeds.</w:t>
      </w:r>
    </w:p>
    <w:p>
      <w:pPr>
        <w:pStyle w:val="ListParagraph"/>
        <w:numPr>
          <w:ilvl w:val="0"/>
          <w:numId w:val="2"/>
        </w:numPr>
        <w:spacing w:before="60" w:after="60"/>
      </w:pPr>
      <w:r>
        <w:rPr>
          <w:rFonts w:ascii="Arial" w:cs="Arial" w:eastAsia="Arial" w:hAnsi="Arial"/>
          <w:color w:val="1F2937"/>
          <w:sz w:val="22"/>
          <w:szCs w:val="22"/>
        </w:rPr>
        <w:t xml:space="preserve">Call Stack Visualization: Shows the depth and order of function calls as a stack panel.</w:t>
      </w:r>
    </w:p>
    <w:p>
      <w:pPr>
        <w:pStyle w:val="ListParagraph"/>
        <w:numPr>
          <w:ilvl w:val="0"/>
          <w:numId w:val="2"/>
        </w:numPr>
        <w:spacing w:before="60" w:after="60"/>
      </w:pPr>
      <w:r>
        <w:rPr>
          <w:rFonts w:ascii="Arial" w:cs="Arial" w:eastAsia="Arial" w:hAnsi="Arial"/>
          <w:color w:val="1F2937"/>
          <w:sz w:val="22"/>
          <w:szCs w:val="22"/>
        </w:rPr>
        <w:t xml:space="preserve">Loop Iteration Counter: Displays how many times each loop has been iterated.</w:t>
      </w:r>
    </w:p>
    <w:p>
      <w:pPr>
        <w:pStyle w:val="Heading3"/>
        <w:spacing w:before="200" w:after="80"/>
      </w:pPr>
      <w:r>
        <w:rPr>
          <w:rFonts w:ascii="Arial" w:cs="Arial" w:eastAsia="Arial" w:hAnsi="Arial"/>
          <w:b/>
          <w:bCs/>
          <w:color w:val="7C3AED"/>
          <w:sz w:val="22"/>
          <w:szCs w:val="22"/>
        </w:rPr>
        <w:t xml:space="preserve">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5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Step Mode</w:t>
            </w:r>
          </w:p>
        </w:tc>
        <w:tc>
          <w:tcPr>
            <w:tcW w:type="dxa" w:w="65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Manual step-by-step execution with user-controlled navigation</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Auto-Play Mode</w:t>
            </w:r>
          </w:p>
        </w:tc>
        <w:tc>
          <w:tcPr>
            <w:tcW w:type="dxa" w:w="65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Automatic execution at adjustable speed (0.5x to 10x)</w:t>
            </w:r>
          </w:p>
        </w:tc>
      </w:tr>
      <w:tr>
        <w:tc>
          <w:tcPr>
            <w:tcW w:type="dxa" w:w="2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Breakpoint Mode</w:t>
            </w:r>
          </w:p>
        </w:tc>
        <w:tc>
          <w:tcPr>
            <w:tcW w:type="dxa" w:w="65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Set breakpoints on specific nodes; execution pauses automatically</w:t>
            </w:r>
          </w:p>
        </w:tc>
      </w:tr>
      <w:tr>
        <w:tc>
          <w:tcPr>
            <w:tcW w:type="dxa" w:w="28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Reverse Mode</w:t>
            </w:r>
          </w:p>
        </w:tc>
        <w:tc>
          <w:tcPr>
            <w:tcW w:type="dxa" w:w="65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Step backwards through execution history</w:t>
            </w:r>
          </w:p>
        </w:tc>
      </w:tr>
    </w:tbl>
    <w:p>
      <w:pPr>
        <w:spacing w:before="0" w:after="0"/>
      </w:pPr>
      <w:r>
        <w:t xml:space="preserve"/>
      </w:r>
    </w:p>
    <w:p>
      <w:pPr>
        <w:pStyle w:val="Heading2"/>
        <w:spacing w:before="240" w:after="120"/>
      </w:pPr>
      <w:r>
        <w:rPr>
          <w:rFonts w:ascii="Arial" w:cs="Arial" w:eastAsia="Arial" w:hAnsi="Arial"/>
          <w:b/>
          <w:bCs/>
          <w:color w:val="1A56DB"/>
          <w:sz w:val="26"/>
          <w:szCs w:val="26"/>
        </w:rPr>
        <w:t xml:space="preserve">3.3 Dependency Graph</w:t>
      </w:r>
    </w:p>
    <w:p>
      <w:pPr>
        <w:spacing w:before="80" w:after="80"/>
      </w:pPr>
      <w:r>
        <w:rPr>
          <w:rFonts w:ascii="Arial" w:cs="Arial" w:eastAsia="Arial" w:hAnsi="Arial"/>
          <w:color w:val="1F2937"/>
          <w:sz w:val="22"/>
          <w:szCs w:val="22"/>
        </w:rPr>
        <w:t xml:space="preserve">The Dependency Graph builds a multi-level visualization of how functions, modules, classes, and external services relate to each other. It enables navigation across large codebases by providing a high-level structural map that links directly to code-level flowcharts.</w:t>
      </w:r>
    </w:p>
    <w:p>
      <w:pPr>
        <w:pStyle w:val="Heading3"/>
        <w:spacing w:before="200" w:after="80"/>
      </w:pPr>
      <w:r>
        <w:rPr>
          <w:rFonts w:ascii="Arial" w:cs="Arial" w:eastAsia="Arial" w:hAnsi="Arial"/>
          <w:b/>
          <w:bCs/>
          <w:color w:val="7C3AED"/>
          <w:sz w:val="22"/>
          <w:szCs w:val="22"/>
        </w:rPr>
        <w:t xml:space="preserve">Graph Node Types</w:t>
      </w:r>
    </w:p>
    <w:p>
      <w:pPr>
        <w:pStyle w:val="ListParagraph"/>
        <w:numPr>
          <w:ilvl w:val="0"/>
          <w:numId w:val="2"/>
        </w:numPr>
        <w:spacing w:before="60" w:after="60"/>
      </w:pPr>
      <w:r>
        <w:rPr>
          <w:rFonts w:ascii="Arial" w:cs="Arial" w:eastAsia="Arial" w:hAnsi="Arial"/>
          <w:color w:val="1F2937"/>
          <w:sz w:val="22"/>
          <w:szCs w:val="22"/>
        </w:rPr>
        <w:t xml:space="preserve">Function Node: Represents an individual function or method.</w:t>
      </w:r>
    </w:p>
    <w:p>
      <w:pPr>
        <w:pStyle w:val="ListParagraph"/>
        <w:numPr>
          <w:ilvl w:val="0"/>
          <w:numId w:val="2"/>
        </w:numPr>
        <w:spacing w:before="60" w:after="60"/>
      </w:pPr>
      <w:r>
        <w:rPr>
          <w:rFonts w:ascii="Arial" w:cs="Arial" w:eastAsia="Arial" w:hAnsi="Arial"/>
          <w:color w:val="1F2937"/>
          <w:sz w:val="22"/>
          <w:szCs w:val="22"/>
        </w:rPr>
        <w:t xml:space="preserve">Module Node: Groups all functions within a file or module.</w:t>
      </w:r>
    </w:p>
    <w:p>
      <w:pPr>
        <w:pStyle w:val="ListParagraph"/>
        <w:numPr>
          <w:ilvl w:val="0"/>
          <w:numId w:val="2"/>
        </w:numPr>
        <w:spacing w:before="60" w:after="60"/>
      </w:pPr>
      <w:r>
        <w:rPr>
          <w:rFonts w:ascii="Arial" w:cs="Arial" w:eastAsia="Arial" w:hAnsi="Arial"/>
          <w:color w:val="1F2937"/>
          <w:sz w:val="22"/>
          <w:szCs w:val="22"/>
        </w:rPr>
        <w:t xml:space="preserve">Class Node: Represents a class with all its methods collapsed inside.</w:t>
      </w:r>
    </w:p>
    <w:p>
      <w:pPr>
        <w:pStyle w:val="ListParagraph"/>
        <w:numPr>
          <w:ilvl w:val="0"/>
          <w:numId w:val="2"/>
        </w:numPr>
        <w:spacing w:before="60" w:after="60"/>
      </w:pPr>
      <w:r>
        <w:rPr>
          <w:rFonts w:ascii="Arial" w:cs="Arial" w:eastAsia="Arial" w:hAnsi="Arial"/>
          <w:color w:val="1F2937"/>
          <w:sz w:val="22"/>
          <w:szCs w:val="22"/>
        </w:rPr>
        <w:t xml:space="preserve">External Service Node: Represents external API calls, database queries, or system calls.</w:t>
      </w:r>
    </w:p>
    <w:p>
      <w:pPr>
        <w:pStyle w:val="ListParagraph"/>
        <w:numPr>
          <w:ilvl w:val="0"/>
          <w:numId w:val="2"/>
        </w:numPr>
        <w:spacing w:before="60" w:after="60"/>
      </w:pPr>
      <w:r>
        <w:rPr>
          <w:rFonts w:ascii="Arial" w:cs="Arial" w:eastAsia="Arial" w:hAnsi="Arial"/>
          <w:color w:val="1F2937"/>
          <w:sz w:val="22"/>
          <w:szCs w:val="22"/>
        </w:rPr>
        <w:t xml:space="preserve">Entrypoint Node: Marks the main() function or application entry point.</w:t>
      </w:r>
    </w:p>
    <w:p>
      <w:pPr>
        <w:pStyle w:val="Heading3"/>
        <w:spacing w:before="200" w:after="80"/>
      </w:pPr>
      <w:r>
        <w:rPr>
          <w:rFonts w:ascii="Arial" w:cs="Arial" w:eastAsia="Arial" w:hAnsi="Arial"/>
          <w:b/>
          <w:bCs/>
          <w:color w:val="7C3AED"/>
          <w:sz w:val="22"/>
          <w:szCs w:val="22"/>
        </w:rPr>
        <w:t xml:space="preserve">Graph 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Calls</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function directly invokes another function</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Imports</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module imports another module or package</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Inherits</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class extends or inherits from another class</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Depends On</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module depends on an external service or library</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Triggers</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An event handler is triggered by another component</w:t>
            </w:r>
          </w:p>
        </w:tc>
      </w:tr>
    </w:tbl>
    <w:p>
      <w:pPr>
        <w:pStyle w:val="Heading3"/>
        <w:spacing w:before="200" w:after="80"/>
      </w:pPr>
      <w:r>
        <w:rPr>
          <w:rFonts w:ascii="Arial" w:cs="Arial" w:eastAsia="Arial" w:hAnsi="Arial"/>
          <w:b/>
          <w:bCs/>
          <w:color w:val="7C3AED"/>
          <w:sz w:val="22"/>
          <w:szCs w:val="22"/>
        </w:rPr>
        <w:t xml:space="preserve">Navigation Features</w:t>
      </w:r>
    </w:p>
    <w:p>
      <w:pPr>
        <w:pStyle w:val="ListParagraph"/>
        <w:numPr>
          <w:ilvl w:val="0"/>
          <w:numId w:val="2"/>
        </w:numPr>
        <w:spacing w:before="60" w:after="60"/>
      </w:pPr>
      <w:r>
        <w:rPr>
          <w:rFonts w:ascii="Arial" w:cs="Arial" w:eastAsia="Arial" w:hAnsi="Arial"/>
          <w:color w:val="1F2937"/>
          <w:sz w:val="22"/>
          <w:szCs w:val="22"/>
        </w:rPr>
        <w:t xml:space="preserve">Click any node to open its corresponding Flowchart in a side panel.</w:t>
      </w:r>
    </w:p>
    <w:p>
      <w:pPr>
        <w:pStyle w:val="ListParagraph"/>
        <w:numPr>
          <w:ilvl w:val="0"/>
          <w:numId w:val="2"/>
        </w:numPr>
        <w:spacing w:before="60" w:after="60"/>
      </w:pPr>
      <w:r>
        <w:rPr>
          <w:rFonts w:ascii="Arial" w:cs="Arial" w:eastAsia="Arial" w:hAnsi="Arial"/>
          <w:color w:val="1F2937"/>
          <w:sz w:val="22"/>
          <w:szCs w:val="22"/>
        </w:rPr>
        <w:t xml:space="preserve">Hover a node to preview its function signature and docstring.</w:t>
      </w:r>
    </w:p>
    <w:p>
      <w:pPr>
        <w:pStyle w:val="ListParagraph"/>
        <w:numPr>
          <w:ilvl w:val="0"/>
          <w:numId w:val="2"/>
        </w:numPr>
        <w:spacing w:before="60" w:after="60"/>
      </w:pPr>
      <w:r>
        <w:rPr>
          <w:rFonts w:ascii="Arial" w:cs="Arial" w:eastAsia="Arial" w:hAnsi="Arial"/>
          <w:color w:val="1F2937"/>
          <w:sz w:val="22"/>
          <w:szCs w:val="22"/>
        </w:rPr>
        <w:t xml:space="preserve">Filter by node type (functions only, modules only, external services).</w:t>
      </w:r>
    </w:p>
    <w:p>
      <w:pPr>
        <w:pStyle w:val="ListParagraph"/>
        <w:numPr>
          <w:ilvl w:val="0"/>
          <w:numId w:val="2"/>
        </w:numPr>
        <w:spacing w:before="60" w:after="60"/>
      </w:pPr>
      <w:r>
        <w:rPr>
          <w:rFonts w:ascii="Arial" w:cs="Arial" w:eastAsia="Arial" w:hAnsi="Arial"/>
          <w:color w:val="1F2937"/>
          <w:sz w:val="22"/>
          <w:szCs w:val="22"/>
        </w:rPr>
        <w:t xml:space="preserve">Search nodes by name with fuzzy matching.</w:t>
      </w:r>
    </w:p>
    <w:p>
      <w:pPr>
        <w:pStyle w:val="ListParagraph"/>
        <w:numPr>
          <w:ilvl w:val="0"/>
          <w:numId w:val="2"/>
        </w:numPr>
        <w:spacing w:before="60" w:after="60"/>
      </w:pPr>
      <w:r>
        <w:rPr>
          <w:rFonts w:ascii="Arial" w:cs="Arial" w:eastAsia="Arial" w:hAnsi="Arial"/>
          <w:color w:val="1F2937"/>
          <w:sz w:val="22"/>
          <w:szCs w:val="22"/>
        </w:rPr>
        <w:t xml:space="preserve">Zoom / Pan across large graphs with minimap navigation.</w:t>
      </w:r>
    </w:p>
    <w:p>
      <w:pPr>
        <w:spacing w:before="0" w:after="0"/>
      </w:pPr>
      <w:r>
        <w:t xml:space="preserve"/>
      </w:r>
    </w:p>
    <w:p>
      <w:pPr>
        <w:pStyle w:val="Heading2"/>
        <w:spacing w:before="240" w:after="120"/>
      </w:pPr>
      <w:r>
        <w:rPr>
          <w:rFonts w:ascii="Arial" w:cs="Arial" w:eastAsia="Arial" w:hAnsi="Arial"/>
          <w:b/>
          <w:bCs/>
          <w:color w:val="1A56DB"/>
          <w:sz w:val="26"/>
          <w:szCs w:val="26"/>
        </w:rPr>
        <w:t xml:space="preserve">3.4 Coverage Heatmap</w:t>
      </w:r>
    </w:p>
    <w:p>
      <w:pPr>
        <w:spacing w:before="80" w:after="80"/>
      </w:pPr>
      <w:r>
        <w:rPr>
          <w:rFonts w:ascii="Arial" w:cs="Arial" w:eastAsia="Arial" w:hAnsi="Arial"/>
          <w:color w:val="1F2937"/>
          <w:sz w:val="22"/>
          <w:szCs w:val="22"/>
        </w:rPr>
        <w:t xml:space="preserve">The Coverage Heatmap overlays test coverage data directly onto the Flowchart view, making it immediately visible which code paths have been tested and which are blind spots. Coverage data can be imported from standard coverage tools (pytest-cov, Istanbul, JaCoCo) or generated from the Execution Visualizer's simulation runs.</w:t>
      </w:r>
    </w:p>
    <w:p>
      <w:pPr>
        <w:pStyle w:val="Heading3"/>
        <w:spacing w:before="200" w:after="80"/>
      </w:pPr>
      <w:r>
        <w:rPr>
          <w:rFonts w:ascii="Arial" w:cs="Arial" w:eastAsia="Arial" w:hAnsi="Arial"/>
          <w:b/>
          <w:bCs/>
          <w:color w:val="7C3AED"/>
          <w:sz w:val="22"/>
          <w:szCs w:val="22"/>
        </w:rPr>
        <w:t xml:space="preserve">Heatmap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1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Fully Covered (Green)</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All branches through this node have been executed in tests</w:t>
            </w:r>
          </w:p>
        </w:tc>
      </w:tr>
      <w:tr>
        <w:tc>
          <w:tcPr>
            <w:tcW w:type="dxa" w:w="3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Partially Covered (Amber)</w:t>
            </w:r>
          </w:p>
        </w:tc>
        <w:tc>
          <w:tcPr>
            <w:tcW w:type="dxa" w:w="61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The node is reached, but not all branches leaving it are tested</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Uncovered (Red)</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This node is never reached in any test run</w:t>
            </w:r>
          </w:p>
        </w:tc>
      </w:tr>
      <w:tr>
        <w:tc>
          <w:tcPr>
            <w:tcW w:type="dxa" w:w="3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Dead Code (Gray)</w:t>
            </w:r>
          </w:p>
        </w:tc>
        <w:tc>
          <w:tcPr>
            <w:tcW w:type="dxa" w:w="61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Statically unreachable code — unreachable regardless of input</w:t>
            </w:r>
          </w:p>
        </w:tc>
      </w:tr>
    </w:tbl>
    <w:p>
      <w:pPr>
        <w:pStyle w:val="Heading3"/>
        <w:spacing w:before="200" w:after="80"/>
      </w:pPr>
      <w:r>
        <w:rPr>
          <w:rFonts w:ascii="Arial" w:cs="Arial" w:eastAsia="Arial" w:hAnsi="Arial"/>
          <w:b/>
          <w:bCs/>
          <w:color w:val="7C3AED"/>
          <w:sz w:val="22"/>
          <w:szCs w:val="22"/>
        </w:rPr>
        <w:t xml:space="preserve">Coverage Import Formats</w:t>
      </w:r>
    </w:p>
    <w:p>
      <w:pPr>
        <w:pStyle w:val="ListParagraph"/>
        <w:numPr>
          <w:ilvl w:val="0"/>
          <w:numId w:val="2"/>
        </w:numPr>
        <w:spacing w:before="60" w:after="60"/>
      </w:pPr>
      <w:r>
        <w:rPr>
          <w:rFonts w:ascii="Arial" w:cs="Arial" w:eastAsia="Arial" w:hAnsi="Arial"/>
          <w:color w:val="1F2937"/>
          <w:sz w:val="22"/>
          <w:szCs w:val="22"/>
        </w:rPr>
        <w:t xml:space="preserve">coverage.xml (Python / pytest-cov)</w:t>
      </w:r>
    </w:p>
    <w:p>
      <w:pPr>
        <w:pStyle w:val="ListParagraph"/>
        <w:numPr>
          <w:ilvl w:val="0"/>
          <w:numId w:val="2"/>
        </w:numPr>
        <w:spacing w:before="60" w:after="60"/>
      </w:pPr>
      <w:r>
        <w:rPr>
          <w:rFonts w:ascii="Arial" w:cs="Arial" w:eastAsia="Arial" w:hAnsi="Arial"/>
          <w:color w:val="1F2937"/>
          <w:sz w:val="22"/>
          <w:szCs w:val="22"/>
        </w:rPr>
        <w:t xml:space="preserve">lcov.info (JavaScript / Istanbul / C++ / lcov)</w:t>
      </w:r>
    </w:p>
    <w:p>
      <w:pPr>
        <w:pStyle w:val="ListParagraph"/>
        <w:numPr>
          <w:ilvl w:val="0"/>
          <w:numId w:val="2"/>
        </w:numPr>
        <w:spacing w:before="60" w:after="60"/>
      </w:pPr>
      <w:r>
        <w:rPr>
          <w:rFonts w:ascii="Arial" w:cs="Arial" w:eastAsia="Arial" w:hAnsi="Arial"/>
          <w:color w:val="1F2937"/>
          <w:sz w:val="22"/>
          <w:szCs w:val="22"/>
        </w:rPr>
        <w:t xml:space="preserve">jacoco.xml (Java / Maven)</w:t>
      </w:r>
    </w:p>
    <w:p>
      <w:pPr>
        <w:pStyle w:val="ListParagraph"/>
        <w:numPr>
          <w:ilvl w:val="0"/>
          <w:numId w:val="2"/>
        </w:numPr>
        <w:spacing w:before="60" w:after="60"/>
      </w:pPr>
      <w:r>
        <w:rPr>
          <w:rFonts w:ascii="Arial" w:cs="Arial" w:eastAsia="Arial" w:hAnsi="Arial"/>
          <w:color w:val="1F2937"/>
          <w:sz w:val="22"/>
          <w:szCs w:val="22"/>
        </w:rPr>
        <w:t xml:space="preserve">CodeFlowX+ native JSON format (exported from Execution Visualizer)</w:t>
      </w:r>
    </w:p>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4. Integration Features</w:t>
      </w:r>
    </w:p>
    <w:p>
      <w:pPr>
        <w:spacing w:before="80" w:after="80"/>
      </w:pPr>
      <w:r>
        <w:rPr>
          <w:rFonts w:ascii="Arial" w:cs="Arial" w:eastAsia="Arial" w:hAnsi="Arial"/>
          <w:color w:val="1F2937"/>
          <w:sz w:val="22"/>
          <w:szCs w:val="22"/>
        </w:rPr>
        <w:t xml:space="preserve">One of CodeFlowX+'s defining characteristics is that all four subsystems are deeply interconnected. Changes in one view propagate to all others in real-time, creating a fully unified analysis workspace.</w:t>
      </w:r>
    </w:p>
    <w:p>
      <w:pPr>
        <w:pStyle w:val="Heading2"/>
        <w:spacing w:before="240" w:after="120"/>
      </w:pPr>
      <w:r>
        <w:rPr>
          <w:rFonts w:ascii="Arial" w:cs="Arial" w:eastAsia="Arial" w:hAnsi="Arial"/>
          <w:b/>
          <w:bCs/>
          <w:color w:val="1A56DB"/>
          <w:sz w:val="26"/>
          <w:szCs w:val="26"/>
        </w:rPr>
        <w:t xml:space="preserve">4.1 Cross-View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1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Dependency Graph → Flowchart</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Click a function node in the Dependency Graph to instantly open its Flowchart in the side panel.</w:t>
            </w:r>
          </w:p>
        </w:tc>
      </w:tr>
      <w:tr>
        <w:tc>
          <w:tcPr>
            <w:tcW w:type="dxa" w:w="3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Execution Visualizer → Dependency Graph</w:t>
            </w:r>
          </w:p>
        </w:tc>
        <w:tc>
          <w:tcPr>
            <w:tcW w:type="dxa" w:w="61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As execution progresses, the currently executing function node is highlighted in the Dependency Graph.</w:t>
            </w:r>
          </w:p>
        </w:tc>
      </w:tr>
      <w:tr>
        <w:tc>
          <w:tcPr>
            <w:tcW w:type="dxa" w:w="3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Coverage Heatmap → Flowchart</w:t>
            </w:r>
          </w:p>
        </w:tc>
        <w:tc>
          <w:tcPr>
            <w:tcW w:type="dxa" w:w="61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Coverage overlays render directly on Flowchart nodes; clicking a red (uncovered) node jumps to the source code line.</w:t>
            </w:r>
          </w:p>
        </w:tc>
      </w:tr>
      <w:tr>
        <w:tc>
          <w:tcPr>
            <w:tcW w:type="dxa" w:w="3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Flowchart → Source Code</w:t>
            </w:r>
          </w:p>
        </w:tc>
        <w:tc>
          <w:tcPr>
            <w:tcW w:type="dxa" w:w="61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Click any Flowchart node to highlight the corresponding source code lines in the editor.</w:t>
            </w:r>
          </w:p>
        </w:tc>
      </w:tr>
    </w:tbl>
    <w:p>
      <w:pPr>
        <w:pStyle w:val="Heading2"/>
        <w:spacing w:before="240" w:after="120"/>
      </w:pPr>
      <w:r>
        <w:rPr>
          <w:rFonts w:ascii="Arial" w:cs="Arial" w:eastAsia="Arial" w:hAnsi="Arial"/>
          <w:b/>
          <w:bCs/>
          <w:color w:val="1A56DB"/>
          <w:sz w:val="26"/>
          <w:szCs w:val="26"/>
        </w:rPr>
        <w:t xml:space="preserve">4.2 Failure Simulation</w:t>
      </w:r>
    </w:p>
    <w:p>
      <w:pPr>
        <w:spacing w:before="80" w:after="80"/>
      </w:pPr>
      <w:r>
        <w:rPr>
          <w:rFonts w:ascii="Arial" w:cs="Arial" w:eastAsia="Arial" w:hAnsi="Arial"/>
          <w:color w:val="1F2937"/>
          <w:sz w:val="22"/>
          <w:szCs w:val="22"/>
        </w:rPr>
        <w:t xml:space="preserve">Failure Simulation allows developers to mark a function as 'broken' or 'unavailable' and observe the cascading impact across the Dependency Graph. Affected nodes turn red. Flowcharts show which branches are now unreachable or will produce exceptions. This is valuable for:</w:t>
      </w:r>
    </w:p>
    <w:p>
      <w:pPr>
        <w:pStyle w:val="ListParagraph"/>
        <w:numPr>
          <w:ilvl w:val="0"/>
          <w:numId w:val="2"/>
        </w:numPr>
        <w:spacing w:before="60" w:after="60"/>
      </w:pPr>
      <w:r>
        <w:rPr>
          <w:rFonts w:ascii="Arial" w:cs="Arial" w:eastAsia="Arial" w:hAnsi="Arial"/>
          <w:color w:val="1F2937"/>
          <w:sz w:val="22"/>
          <w:szCs w:val="22"/>
        </w:rPr>
        <w:t xml:space="preserve">Understanding the blast radius of a failing microservice.</w:t>
      </w:r>
    </w:p>
    <w:p>
      <w:pPr>
        <w:pStyle w:val="ListParagraph"/>
        <w:numPr>
          <w:ilvl w:val="0"/>
          <w:numId w:val="2"/>
        </w:numPr>
        <w:spacing w:before="60" w:after="60"/>
      </w:pPr>
      <w:r>
        <w:rPr>
          <w:rFonts w:ascii="Arial" w:cs="Arial" w:eastAsia="Arial" w:hAnsi="Arial"/>
          <w:color w:val="1F2937"/>
          <w:sz w:val="22"/>
          <w:szCs w:val="22"/>
        </w:rPr>
        <w:t xml:space="preserve">Preparing for chaos engineering experiments.</w:t>
      </w:r>
    </w:p>
    <w:p>
      <w:pPr>
        <w:pStyle w:val="ListParagraph"/>
        <w:numPr>
          <w:ilvl w:val="0"/>
          <w:numId w:val="2"/>
        </w:numPr>
        <w:spacing w:before="60" w:after="60"/>
      </w:pPr>
      <w:r>
        <w:rPr>
          <w:rFonts w:ascii="Arial" w:cs="Arial" w:eastAsia="Arial" w:hAnsi="Arial"/>
          <w:color w:val="1F2937"/>
          <w:sz w:val="22"/>
          <w:szCs w:val="22"/>
        </w:rPr>
        <w:t xml:space="preserve">Teaching students about fault propagation in distributed systems.</w:t>
      </w:r>
    </w:p>
    <w:p>
      <w:pPr>
        <w:pStyle w:val="Heading2"/>
        <w:spacing w:before="240" w:after="120"/>
      </w:pPr>
      <w:r>
        <w:rPr>
          <w:rFonts w:ascii="Arial" w:cs="Arial" w:eastAsia="Arial" w:hAnsi="Arial"/>
          <w:b/>
          <w:bCs/>
          <w:color w:val="1A56DB"/>
          <w:sz w:val="26"/>
          <w:szCs w:val="26"/>
        </w:rPr>
        <w:t xml:space="preserve">4.3 AI-Powered Explanations</w:t>
      </w:r>
    </w:p>
    <w:p>
      <w:pPr>
        <w:spacing w:before="80" w:after="80"/>
      </w:pPr>
      <w:r>
        <w:rPr>
          <w:rFonts w:ascii="Arial" w:cs="Arial" w:eastAsia="Arial" w:hAnsi="Arial"/>
          <w:color w:val="1F2937"/>
          <w:sz w:val="22"/>
          <w:szCs w:val="22"/>
        </w:rPr>
        <w:t xml:space="preserve">Each Flowchart node, Dependency Graph edge, and Coverage region can be right-clicked to request an AI-generated explanation. The AI module draws on the code context, the IR structure, and the execution state to produce natural language explanations such 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140"/>
              <w:bottom w:type="dxa" w:w="80"/>
              <w:right w:type="dxa" w:w="140"/>
            </w:tcMar>
          </w:tcPr>
          <w:p>
            <w:r>
              <w:rPr>
                <w:rFonts w:ascii="Arial" w:cs="Arial" w:eastAsia="Arial" w:hAnsi="Arial"/>
                <w:b/>
                <w:bCs/>
                <w:color w:val="FFFFFF"/>
                <w:sz w:val="20"/>
                <w:szCs w:val="20"/>
              </w:rPr>
              <w:t xml:space="preserve">💡  Example AI Explanation</w:t>
            </w:r>
          </w:p>
        </w:tc>
      </w:tr>
      <w:tr>
        <w:tc>
          <w:tcPr>
            <w:tcW w:type="dxa" w:w="9360"/>
            <w:tcBorders>
              <w:top w:val="single" w:color="059669" w:sz="1"/>
              <w:left w:val="single" w:color="059669" w:sz="1"/>
              <w:bottom w:val="single" w:color="059669" w:sz="1"/>
              <w:right w:val="single" w:color="059669" w:sz="1"/>
            </w:tcBorders>
            <w:shd w:fill="F0FDF4" w:val="clear"/>
            <w:tcMar>
              <w:top w:type="dxa" w:w="80"/>
              <w:left w:type="dxa" w:w="140"/>
              <w:bottom w:type="dxa" w:w="80"/>
              <w:right w:type="dxa" w:w="140"/>
            </w:tcMar>
          </w:tcPr>
          <w:p>
            <w:r>
              <w:rPr>
                <w:rFonts w:ascii="Arial" w:cs="Arial" w:eastAsia="Arial" w:hAnsi="Arial"/>
                <w:color w:val="1F2937"/>
                <w:sz w:val="20"/>
                <w:szCs w:val="20"/>
              </w:rPr>
              <w:t xml:space="preserve">Node: validate_user_token() — "This function checks the JWT token in the Authorization header.</w:t>
            </w:r>
          </w:p>
        </w:tc>
      </w:tr>
      <w:tr>
        <w:tc>
          <w:tcPr>
            <w:tcW w:type="dxa" w:w="9360"/>
            <w:tcBorders>
              <w:top w:val="single" w:color="059669" w:sz="1"/>
              <w:left w:val="single" w:color="059669" w:sz="1"/>
              <w:bottom w:val="single" w:color="059669" w:sz="1"/>
              <w:right w:val="single" w:color="059669" w:sz="1"/>
            </w:tcBorders>
            <w:shd w:fill="F0FDF4" w:val="clear"/>
            <w:tcMar>
              <w:top w:type="dxa" w:w="80"/>
              <w:left w:type="dxa" w:w="140"/>
              <w:bottom w:type="dxa" w:w="80"/>
              <w:right w:type="dxa" w:w="140"/>
            </w:tcMar>
          </w:tcPr>
          <w:p>
            <w:r>
              <w:rPr>
                <w:rFonts w:ascii="Arial" w:cs="Arial" w:eastAsia="Arial" w:hAnsi="Arial"/>
                <w:color w:val="1F2937"/>
                <w:sz w:val="20"/>
                <w:szCs w:val="20"/>
              </w:rPr>
              <w:t xml:space="preserve">It first decodes the token using the HS256 algorithm, then verifies the expiry timestamp.</w:t>
            </w:r>
          </w:p>
        </w:tc>
      </w:tr>
      <w:tr>
        <w:tc>
          <w:tcPr>
            <w:tcW w:type="dxa" w:w="9360"/>
            <w:tcBorders>
              <w:top w:val="single" w:color="059669" w:sz="1"/>
              <w:left w:val="single" w:color="059669" w:sz="1"/>
              <w:bottom w:val="single" w:color="059669" w:sz="1"/>
              <w:right w:val="single" w:color="059669" w:sz="1"/>
            </w:tcBorders>
            <w:shd w:fill="F0FDF4" w:val="clear"/>
            <w:tcMar>
              <w:top w:type="dxa" w:w="80"/>
              <w:left w:type="dxa" w:w="140"/>
              <w:bottom w:type="dxa" w:w="80"/>
              <w:right w:type="dxa" w:w="140"/>
            </w:tcMar>
          </w:tcPr>
          <w:p>
            <w:r>
              <w:rPr>
                <w:rFonts w:ascii="Arial" w:cs="Arial" w:eastAsia="Arial" w:hAnsi="Arial"/>
                <w:color w:val="1F2937"/>
                <w:sz w:val="20"/>
                <w:szCs w:val="20"/>
              </w:rPr>
              <w:t xml:space="preserve">If the token is expired, it raises a TokenExpiredError, which is caught in the caller's</w:t>
            </w:r>
          </w:p>
        </w:tc>
      </w:tr>
      <w:tr>
        <w:tc>
          <w:tcPr>
            <w:tcW w:type="dxa" w:w="9360"/>
            <w:tcBorders>
              <w:top w:val="single" w:color="059669" w:sz="1"/>
              <w:left w:val="single" w:color="059669" w:sz="1"/>
              <w:bottom w:val="single" w:color="059669" w:sz="1"/>
              <w:right w:val="single" w:color="059669" w:sz="1"/>
            </w:tcBorders>
            <w:shd w:fill="F0FDF4" w:val="clear"/>
            <w:tcMar>
              <w:top w:type="dxa" w:w="80"/>
              <w:left w:type="dxa" w:w="140"/>
              <w:bottom w:type="dxa" w:w="80"/>
              <w:right w:type="dxa" w:w="140"/>
            </w:tcMar>
          </w:tcPr>
          <w:p>
            <w:r>
              <w:rPr>
                <w:rFonts w:ascii="Arial" w:cs="Arial" w:eastAsia="Arial" w:hAnsi="Arial"/>
                <w:color w:val="1F2937"/>
                <w:sz w:val="20"/>
                <w:szCs w:val="20"/>
              </w:rPr>
              <w:t xml:space="preserve">try/except block and returns a 401 Unauthorized response to the client."</w:t>
            </w:r>
          </w:p>
        </w:tc>
      </w:tr>
    </w:tbl>
    <w:p>
      <w:pPr>
        <w:spacing w:before="0" w:after="0"/>
      </w:pPr>
      <w:r>
        <w:t xml:space="preserve"/>
      </w:r>
    </w:p>
    <w:p>
      <w:pPr>
        <w:pStyle w:val="Heading2"/>
        <w:spacing w:before="240" w:after="120"/>
      </w:pPr>
      <w:r>
        <w:rPr>
          <w:rFonts w:ascii="Arial" w:cs="Arial" w:eastAsia="Arial" w:hAnsi="Arial"/>
          <w:b/>
          <w:bCs/>
          <w:color w:val="1A56DB"/>
          <w:sz w:val="26"/>
          <w:szCs w:val="26"/>
        </w:rPr>
        <w:t xml:space="preserve">4.4 GitHub Repository Analysis</w:t>
      </w:r>
    </w:p>
    <w:p>
      <w:pPr>
        <w:spacing w:before="80" w:after="80"/>
      </w:pPr>
      <w:r>
        <w:rPr>
          <w:rFonts w:ascii="Arial" w:cs="Arial" w:eastAsia="Arial" w:hAnsi="Arial"/>
          <w:color w:val="1F2937"/>
          <w:sz w:val="22"/>
          <w:szCs w:val="22"/>
        </w:rPr>
        <w:t xml:space="preserve">Users can connect a GitHub repository and trigger full-repository analysis. CodeFlowX+ clones the repository, runs Tree-sitter parsing across all supported language files, builds a global Dependency Graph for the entire project, generates Flowcharts for every function, and loads any existing coverage reports. This makes CodeFlowX+ viable for production-scale codebases with thousands of files.</w:t>
      </w:r>
    </w:p>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5. System Architecture</w:t>
      </w:r>
    </w:p>
    <w:p>
      <w:pPr>
        <w:pStyle w:val="Heading2"/>
        <w:spacing w:before="240" w:after="120"/>
      </w:pPr>
      <w:r>
        <w:rPr>
          <w:rFonts w:ascii="Arial" w:cs="Arial" w:eastAsia="Arial" w:hAnsi="Arial"/>
          <w:b/>
          <w:bCs/>
          <w:color w:val="1A56DB"/>
          <w:sz w:val="26"/>
          <w:szCs w:val="26"/>
        </w:rPr>
        <w:t xml:space="preserve">5.1 Architectural Overview</w:t>
      </w:r>
    </w:p>
    <w:p>
      <w:pPr>
        <w:spacing w:before="80" w:after="80"/>
      </w:pPr>
      <w:r>
        <w:rPr>
          <w:rFonts w:ascii="Arial" w:cs="Arial" w:eastAsia="Arial" w:hAnsi="Arial"/>
          <w:color w:val="1F2937"/>
          <w:sz w:val="22"/>
          <w:szCs w:val="22"/>
        </w:rPr>
        <w:t xml:space="preserve">CodeFlowX+ follows a three-tier architecture: a React-based frontend, a FastAPI Python backend, and a set of specialized processing modules. The backend exposes a RESTful API consumed by the frontend. All processing is stateless per request; session state is managed client-side with optional server-side caching via Redis.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  Architecture Layers</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  Layer 1 (Frontend):  React + TypeScript + React Flow + Monaco Editor</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  Layer 2 (API):       FastAPI (Python) — REST endpoints + WebSocket for real-time updates</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  Layer 3 (Processing): Tree-sitter Parser → IR Transformer → Four Module Processors</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  Layer 4 (Storage):  PostgreSQL (metadata) + Redis (cache) + S3-compatible (repo storage)</w:t>
            </w:r>
          </w:p>
        </w:tc>
      </w:tr>
    </w:tbl>
    <w:p>
      <w:pPr>
        <w:spacing w:before="0" w:after="0"/>
      </w:pPr>
      <w:r>
        <w:t xml:space="preserve"/>
      </w:r>
    </w:p>
    <w:p>
      <w:pPr>
        <w:pStyle w:val="Heading2"/>
        <w:spacing w:before="240" w:after="120"/>
      </w:pPr>
      <w:r>
        <w:rPr>
          <w:rFonts w:ascii="Arial" w:cs="Arial" w:eastAsia="Arial" w:hAnsi="Arial"/>
          <w:b/>
          <w:bCs/>
          <w:color w:val="1A56DB"/>
          <w:sz w:val="26"/>
          <w:szCs w:val="26"/>
        </w:rPr>
        <w:t xml:space="preserve">5.2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3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React 18 + TypeScript</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Main UI framework with strict typing</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React Flow</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Interactive canvas for Flowchart and Dependency Graph rendering</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Monaco Editor</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VS Code-quality code editor with syntax highlighting</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Zustand</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Lightweight global state management for cross-view synchronization</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TanStack Query</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Server state management, caching, and background refetching</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Tailwind CSS</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Utility-first styling with dark/light mode support</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Vite</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Build tooling and dev server with HMR</w:t>
            </w:r>
          </w:p>
        </w:tc>
      </w:tr>
    </w:tbl>
    <w:p>
      <w:pPr>
        <w:pStyle w:val="Heading2"/>
        <w:spacing w:before="240" w:after="120"/>
      </w:pPr>
      <w:r>
        <w:rPr>
          <w:rFonts w:ascii="Arial" w:cs="Arial" w:eastAsia="Arial" w:hAnsi="Arial"/>
          <w:b/>
          <w:bCs/>
          <w:color w:val="1A56DB"/>
          <w:sz w:val="26"/>
          <w:szCs w:val="26"/>
        </w:rPr>
        <w:t xml:space="preserve">5.3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3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FastAPI (Python 3.11+)</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High-performance async REST API framework</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Tree-sitter</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Language-agnostic AST parser supporting 40+ languages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Pydantic v2</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Schema validation for all API request/response models</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SQLAlchemy 2.0</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Async ORM for database access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Celery + Redis</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Background task queue for large repository analysis jobs</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WebSockets</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Real-time execution step streaming to the frontend</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PyGithub / GitPython</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GitHub API integration and local git operations</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Docker</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Containerized deployment of all backend services</w:t>
            </w:r>
          </w:p>
        </w:tc>
      </w:tr>
    </w:tbl>
    <w:p>
      <w:pPr>
        <w:pStyle w:val="Heading2"/>
        <w:spacing w:before="240" w:after="120"/>
      </w:pPr>
      <w:r>
        <w:rPr>
          <w:rFonts w:ascii="Arial" w:cs="Arial" w:eastAsia="Arial" w:hAnsi="Arial"/>
          <w:b/>
          <w:bCs/>
          <w:color w:val="1A56DB"/>
          <w:sz w:val="26"/>
          <w:szCs w:val="26"/>
        </w:rPr>
        <w:t xml:space="preserve">5.4 Processing Pipeline</w:t>
      </w:r>
    </w:p>
    <w:p>
      <w:pPr>
        <w:spacing w:before="80" w:after="80"/>
      </w:pPr>
      <w:r>
        <w:rPr>
          <w:rFonts w:ascii="Arial" w:cs="Arial" w:eastAsia="Arial" w:hAnsi="Arial"/>
          <w:color w:val="1F2937"/>
          <w:sz w:val="22"/>
          <w:szCs w:val="22"/>
        </w:rPr>
        <w:t xml:space="preserve">The core processing pipeline is triggered whenever code is submitted for analysis. It runs in parallel across the four processing modules after the shared AST and IR are computed:</w:t>
      </w:r>
    </w:p>
    <w:p>
      <w:pPr>
        <w:pStyle w:val="ListParagraph"/>
        <w:numPr>
          <w:ilvl w:val="0"/>
          <w:numId w:val="3"/>
        </w:numPr>
        <w:spacing w:before="60" w:after="60"/>
      </w:pPr>
      <w:r>
        <w:rPr>
          <w:rFonts w:ascii="Arial" w:cs="Arial" w:eastAsia="Arial" w:hAnsi="Arial"/>
          <w:color w:val="1F2937"/>
          <w:sz w:val="22"/>
          <w:szCs w:val="22"/>
        </w:rPr>
        <w:t xml:space="preserve">Code Input — User submits code via editor or GitHub URL.</w:t>
      </w:r>
    </w:p>
    <w:p>
      <w:pPr>
        <w:pStyle w:val="ListParagraph"/>
        <w:numPr>
          <w:ilvl w:val="0"/>
          <w:numId w:val="3"/>
        </w:numPr>
        <w:spacing w:before="60" w:after="60"/>
      </w:pPr>
      <w:r>
        <w:rPr>
          <w:rFonts w:ascii="Arial" w:cs="Arial" w:eastAsia="Arial" w:hAnsi="Arial"/>
          <w:color w:val="1F2937"/>
          <w:sz w:val="22"/>
          <w:szCs w:val="22"/>
        </w:rPr>
        <w:t xml:space="preserve">Language Detection — Automatic language detection by file extension and content heuristics.</w:t>
      </w:r>
    </w:p>
    <w:p>
      <w:pPr>
        <w:pStyle w:val="ListParagraph"/>
        <w:numPr>
          <w:ilvl w:val="0"/>
          <w:numId w:val="3"/>
        </w:numPr>
        <w:spacing w:before="60" w:after="60"/>
      </w:pPr>
      <w:r>
        <w:rPr>
          <w:rFonts w:ascii="Arial" w:cs="Arial" w:eastAsia="Arial" w:hAnsi="Arial"/>
          <w:color w:val="1F2937"/>
          <w:sz w:val="22"/>
          <w:szCs w:val="22"/>
        </w:rPr>
        <w:t xml:space="preserve">AST Parsing — Tree-sitter parses the code into a language-specific AST.</w:t>
      </w:r>
    </w:p>
    <w:p>
      <w:pPr>
        <w:pStyle w:val="ListParagraph"/>
        <w:numPr>
          <w:ilvl w:val="0"/>
          <w:numId w:val="3"/>
        </w:numPr>
        <w:spacing w:before="60" w:after="60"/>
      </w:pPr>
      <w:r>
        <w:rPr>
          <w:rFonts w:ascii="Arial" w:cs="Arial" w:eastAsia="Arial" w:hAnsi="Arial"/>
          <w:color w:val="1F2937"/>
          <w:sz w:val="22"/>
          <w:szCs w:val="22"/>
        </w:rPr>
        <w:t xml:space="preserve">IR Transformation — The AST Transformer normalizes the AST into the language-agnostic CodeFlowX+ IR (Intermediate Representation).</w:t>
      </w:r>
    </w:p>
    <w:p>
      <w:pPr>
        <w:pStyle w:val="ListParagraph"/>
        <w:numPr>
          <w:ilvl w:val="0"/>
          <w:numId w:val="3"/>
        </w:numPr>
        <w:spacing w:before="60" w:after="60"/>
      </w:pPr>
      <w:r>
        <w:rPr>
          <w:rFonts w:ascii="Arial" w:cs="Arial" w:eastAsia="Arial" w:hAnsi="Arial"/>
          <w:color w:val="1F2937"/>
          <w:sz w:val="22"/>
          <w:szCs w:val="22"/>
        </w:rPr>
        <w:t xml:space="preserve">Parallel Processing — Four modules process the IR simultaneously:</w:t>
      </w:r>
    </w:p>
    <w:p>
      <w:pPr>
        <w:pStyle w:val="ListParagraph"/>
        <w:numPr>
          <w:ilvl w:val="1"/>
          <w:numId w:val="2"/>
        </w:numPr>
        <w:spacing w:before="60" w:after="60"/>
      </w:pPr>
      <w:r>
        <w:rPr>
          <w:rFonts w:ascii="Arial" w:cs="Arial" w:eastAsia="Arial" w:hAnsi="Arial"/>
          <w:color w:val="1F2937"/>
          <w:sz w:val="22"/>
          <w:szCs w:val="22"/>
        </w:rPr>
        <w:t xml:space="preserve">Flowchart Module: Converts IR into flowchart node/edge JSON.</w:t>
      </w:r>
    </w:p>
    <w:p>
      <w:pPr>
        <w:pStyle w:val="ListParagraph"/>
        <w:numPr>
          <w:ilvl w:val="1"/>
          <w:numId w:val="2"/>
        </w:numPr>
        <w:spacing w:before="60" w:after="60"/>
      </w:pPr>
      <w:r>
        <w:rPr>
          <w:rFonts w:ascii="Arial" w:cs="Arial" w:eastAsia="Arial" w:hAnsi="Arial"/>
          <w:color w:val="1F2937"/>
          <w:sz w:val="22"/>
          <w:szCs w:val="22"/>
        </w:rPr>
        <w:t xml:space="preserve">Execution Module: Builds the execution step sequence with variable state snapshots.</w:t>
      </w:r>
    </w:p>
    <w:p>
      <w:pPr>
        <w:pStyle w:val="ListParagraph"/>
        <w:numPr>
          <w:ilvl w:val="1"/>
          <w:numId w:val="2"/>
        </w:numPr>
        <w:spacing w:before="60" w:after="60"/>
      </w:pPr>
      <w:r>
        <w:rPr>
          <w:rFonts w:ascii="Arial" w:cs="Arial" w:eastAsia="Arial" w:hAnsi="Arial"/>
          <w:color w:val="1F2937"/>
          <w:sz w:val="22"/>
          <w:szCs w:val="22"/>
        </w:rPr>
        <w:t xml:space="preserve">Dependency Module: Extracts function call relationships and module imports.</w:t>
      </w:r>
    </w:p>
    <w:p>
      <w:pPr>
        <w:pStyle w:val="ListParagraph"/>
        <w:numPr>
          <w:ilvl w:val="1"/>
          <w:numId w:val="2"/>
        </w:numPr>
        <w:spacing w:before="60" w:after="60"/>
      </w:pPr>
      <w:r>
        <w:rPr>
          <w:rFonts w:ascii="Arial" w:cs="Arial" w:eastAsia="Arial" w:hAnsi="Arial"/>
          <w:color w:val="1F2937"/>
          <w:sz w:val="22"/>
          <w:szCs w:val="22"/>
        </w:rPr>
        <w:t xml:space="preserve">Coverage Module: Merges coverage data with IR node identifiers.</w:t>
      </w:r>
    </w:p>
    <w:p>
      <w:pPr>
        <w:pStyle w:val="ListParagraph"/>
        <w:numPr>
          <w:ilvl w:val="0"/>
          <w:numId w:val="3"/>
        </w:numPr>
        <w:spacing w:before="60" w:after="60"/>
      </w:pPr>
      <w:r>
        <w:rPr>
          <w:rFonts w:ascii="Arial" w:cs="Arial" w:eastAsia="Arial" w:hAnsi="Arial"/>
          <w:color w:val="1F2937"/>
          <w:sz w:val="22"/>
          <w:szCs w:val="22"/>
        </w:rPr>
        <w:t xml:space="preserve">Unified UI Assembly — The frontend receives all four outputs and links them via shared IR node IDs.</w:t>
      </w:r>
    </w:p>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6. API Design</w:t>
      </w:r>
    </w:p>
    <w:p>
      <w:pPr>
        <w:spacing w:before="80" w:after="80"/>
      </w:pPr>
      <w:r>
        <w:rPr>
          <w:rFonts w:ascii="Arial" w:cs="Arial" w:eastAsia="Arial" w:hAnsi="Arial"/>
          <w:color w:val="1F2937"/>
          <w:sz w:val="22"/>
          <w:szCs w:val="22"/>
        </w:rPr>
        <w:t xml:space="preserve">The CodeFlowX+ backend exposes a RESTful API. All endpoints are versioned under /api/v1/. Requests and responses use JSON. Authentication uses JWT Bearer tokens.</w:t>
      </w:r>
    </w:p>
    <w:p>
      <w:pPr>
        <w:pStyle w:val="Heading2"/>
        <w:spacing w:before="240" w:after="120"/>
      </w:pPr>
      <w:r>
        <w:rPr>
          <w:rFonts w:ascii="Arial" w:cs="Arial" w:eastAsia="Arial" w:hAnsi="Arial"/>
          <w:b/>
          <w:bCs/>
          <w:color w:val="1A56DB"/>
          <w:sz w:val="26"/>
          <w:szCs w:val="26"/>
        </w:rPr>
        <w:t xml:space="preserve">6.1 Core Analysis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760"/>
      </w:tblGrid>
      <w:tr>
        <w:tc>
          <w:tcPr>
            <w:tcW w:type="dxa" w:w="1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7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Response</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/api/v1/analyze</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Submit code for full analysis (AST, flowchart, execution, dependency, coverage)</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job_id, status, results }</w:t>
            </w:r>
          </w:p>
        </w:tc>
      </w:tr>
      <w:tr>
        <w:tc>
          <w:tcPr>
            <w:tcW w:type="dxa" w:w="1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059669"/>
                <w:sz w:val="19"/>
                <w:szCs w:val="19"/>
              </w:rPr>
              <w:t xml:space="preserve">GET</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/api/v1/analyze/{job_id}</w:t>
            </w:r>
          </w:p>
        </w:tc>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Poll status of an async analysis job</w:t>
            </w:r>
          </w:p>
        </w:tc>
        <w:tc>
          <w:tcPr>
            <w:tcW w:type="dxa" w:w="2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status, progress, results }</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/api/v1/flowchart</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Generate flowchart for a single function</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nodes[], edges[] }</w:t>
            </w:r>
          </w:p>
        </w:tc>
      </w:tr>
      <w:tr>
        <w:tc>
          <w:tcPr>
            <w:tcW w:type="dxa" w:w="1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/api/v1/execution</w:t>
            </w:r>
          </w:p>
        </w:tc>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Run step-by-step execution simulation</w:t>
            </w:r>
          </w:p>
        </w:tc>
        <w:tc>
          <w:tcPr>
            <w:tcW w:type="dxa" w:w="2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steps[], variables[] }</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059669"/>
                <w:sz w:val="19"/>
                <w:szCs w:val="19"/>
              </w:rPr>
              <w:t xml:space="preserve">GET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/api/v1/execution/{job_id}/step/{n}</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Get state at execution step N</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variables, active_node, call_stack }</w:t>
            </w:r>
          </w:p>
        </w:tc>
      </w:tr>
      <w:tr>
        <w:tc>
          <w:tcPr>
            <w:tcW w:type="dxa" w:w="1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/api/v1/dependency</w:t>
            </w:r>
          </w:p>
        </w:tc>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Build dependency graph for submitted code</w:t>
            </w:r>
          </w:p>
        </w:tc>
        <w:tc>
          <w:tcPr>
            <w:tcW w:type="dxa" w:w="2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nodes[], edges[], clusters[] }</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/api/v1/coverage</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Upload and merge coverage data</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node_coverage_map }</w:t>
            </w:r>
          </w:p>
        </w:tc>
      </w:tr>
    </w:tbl>
    <w:p>
      <w:pPr>
        <w:spacing w:before="0" w:after="0"/>
      </w:pPr>
      <w:r>
        <w:t xml:space="preserve"/>
      </w:r>
    </w:p>
    <w:p>
      <w:pPr>
        <w:pStyle w:val="Heading2"/>
        <w:spacing w:before="240" w:after="120"/>
      </w:pPr>
      <w:r>
        <w:rPr>
          <w:rFonts w:ascii="Arial" w:cs="Arial" w:eastAsia="Arial" w:hAnsi="Arial"/>
          <w:b/>
          <w:bCs/>
          <w:color w:val="1A56DB"/>
          <w:sz w:val="26"/>
          <w:szCs w:val="26"/>
        </w:rPr>
        <w:t xml:space="preserve">6.2 GitHub Integration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760"/>
      </w:tblGrid>
      <w:tr>
        <w:tc>
          <w:tcPr>
            <w:tcW w:type="dxa" w:w="1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7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Response</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/api/v1/github/connect</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Connect a GitHub repository for analysis</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repo_id, status }</w:t>
            </w:r>
          </w:p>
        </w:tc>
      </w:tr>
      <w:tr>
        <w:tc>
          <w:tcPr>
            <w:tcW w:type="dxa" w:w="1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059669"/>
                <w:sz w:val="19"/>
                <w:szCs w:val="19"/>
              </w:rPr>
              <w:t xml:space="preserve">GET</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/api/v1/github/{repo_id}/status</w:t>
            </w:r>
          </w:p>
        </w:tc>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Check repository analysis progress</w:t>
            </w:r>
          </w:p>
        </w:tc>
        <w:tc>
          <w:tcPr>
            <w:tcW w:type="dxa" w:w="2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progress, files_parsed }</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059669"/>
                <w:sz w:val="19"/>
                <w:szCs w:val="19"/>
              </w:rPr>
              <w:t xml:space="preserve">GET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/api/v1/github/{repo_id}/graph</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Fetch full repo dependency graph</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nodes[], edges[] }</w:t>
            </w:r>
          </w:p>
        </w:tc>
      </w:tr>
      <w:tr>
        <w:tc>
          <w:tcPr>
            <w:tcW w:type="dxa" w:w="1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059669"/>
                <w:sz w:val="19"/>
                <w:szCs w:val="19"/>
              </w:rPr>
              <w:t xml:space="preserve">GET</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/api/v1/github/{repo_id}/file/{path}</w:t>
            </w:r>
          </w:p>
        </w:tc>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Get flowchart for a specific file</w:t>
            </w:r>
          </w:p>
        </w:tc>
        <w:tc>
          <w:tcPr>
            <w:tcW w:type="dxa" w:w="2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flowchart, functions[] }</w:t>
            </w:r>
          </w:p>
        </w:tc>
      </w:tr>
    </w:tbl>
    <w:p>
      <w:pPr>
        <w:spacing w:before="0" w:after="0"/>
      </w:pPr>
      <w:r>
        <w:t xml:space="preserve"/>
      </w:r>
    </w:p>
    <w:p>
      <w:pPr>
        <w:pStyle w:val="Heading2"/>
        <w:spacing w:before="240" w:after="120"/>
      </w:pPr>
      <w:r>
        <w:rPr>
          <w:rFonts w:ascii="Arial" w:cs="Arial" w:eastAsia="Arial" w:hAnsi="Arial"/>
          <w:b/>
          <w:bCs/>
          <w:color w:val="1A56DB"/>
          <w:sz w:val="26"/>
          <w:szCs w:val="26"/>
        </w:rPr>
        <w:t xml:space="preserve">6.3 AI Explanation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760"/>
      </w:tblGrid>
      <w:tr>
        <w:tc>
          <w:tcPr>
            <w:tcW w:type="dxa" w:w="1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3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7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Response</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/api/v1/explain/node</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Get AI explanation for a flowchart node</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explanation, confidence }</w:t>
            </w:r>
          </w:p>
        </w:tc>
      </w:tr>
      <w:tr>
        <w:tc>
          <w:tcPr>
            <w:tcW w:type="dxa" w:w="1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/api/v1/explain/edge</w:t>
            </w:r>
          </w:p>
        </w:tc>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Get AI explanation for a dependency edge</w:t>
            </w:r>
          </w:p>
        </w:tc>
        <w:tc>
          <w:tcPr>
            <w:tcW w:type="dxa" w:w="2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explanation }</w:t>
            </w:r>
          </w:p>
        </w:tc>
      </w:tr>
      <w:tr>
        <w:tc>
          <w:tcPr>
            <w:tcW w:type="dxa" w:w="1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/api/v1/explain/coverage</w:t>
            </w:r>
          </w:p>
        </w:tc>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Get AI explanation for an uncovered path</w:t>
            </w:r>
          </w:p>
        </w:tc>
        <w:tc>
          <w:tcPr>
            <w:tcW w:type="dxa" w:w="2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explanation, suggestion }</w:t>
            </w:r>
          </w:p>
        </w:tc>
      </w:tr>
      <w:tr>
        <w:tc>
          <w:tcPr>
            <w:tcW w:type="dxa" w:w="1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Courier New" w:cs="Courier New" w:eastAsia="Courier New" w:hAnsi="Courier New"/>
                <w:b/>
                <w:bCs/>
                <w:color w:val="1A56DB"/>
                <w:sz w:val="19"/>
                <w:szCs w:val="19"/>
              </w:rPr>
              <w:t xml:space="preserve">POST</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Courier New" w:cs="Courier New" w:eastAsia="Courier New" w:hAnsi="Courier New"/>
                <w:color w:val="7C3AED"/>
                <w:sz w:val="19"/>
                <w:szCs w:val="19"/>
              </w:rPr>
              <w:t xml:space="preserve">/api/v1/simulate/failure</w:t>
            </w:r>
          </w:p>
        </w:tc>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Simulate function failure and get impact analysis</w:t>
            </w:r>
          </w:p>
        </w:tc>
        <w:tc>
          <w:tcPr>
            <w:tcW w:type="dxa" w:w="2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affected_nodes[], blast_radius }</w:t>
            </w:r>
          </w:p>
        </w:tc>
      </w:tr>
    </w:tbl>
    <w:p>
      <w:pPr>
        <w:spacing w:before="0" w:after="0"/>
      </w:pPr>
      <w:r>
        <w:t xml:space="preserve"/>
      </w:r>
    </w:p>
    <w:p>
      <w:pPr>
        <w:pStyle w:val="Heading2"/>
        <w:spacing w:before="240" w:after="120"/>
      </w:pPr>
      <w:r>
        <w:rPr>
          <w:rFonts w:ascii="Arial" w:cs="Arial" w:eastAsia="Arial" w:hAnsi="Arial"/>
          <w:b/>
          <w:bCs/>
          <w:color w:val="1A56DB"/>
          <w:sz w:val="26"/>
          <w:szCs w:val="26"/>
        </w:rPr>
        <w:t xml:space="preserve">6.4 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57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ws://host/ws/execution/{job_id}</w:t>
            </w:r>
          </w:p>
        </w:tc>
        <w:tc>
          <w:tcPr>
            <w:tcW w:type="dxa" w:w="5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Real-time execution step streaming — server pushes each step state as the simulation runs.</w:t>
            </w:r>
          </w:p>
        </w:tc>
      </w:tr>
      <w:tr>
        <w:tc>
          <w:tcPr>
            <w:tcW w:type="dxa" w:w="3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ws://host/ws/analysis/{job_id}</w:t>
            </w:r>
          </w:p>
        </w:tc>
        <w:tc>
          <w:tcPr>
            <w:tcW w:type="dxa" w:w="5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Real-time progress updates for large repository analysis jobs.</w:t>
            </w:r>
          </w:p>
        </w:tc>
      </w:tr>
    </w:tbl>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7. Core Data Models</w:t>
      </w:r>
    </w:p>
    <w:p>
      <w:pPr>
        <w:spacing w:before="80" w:after="80"/>
      </w:pPr>
      <w:r>
        <w:rPr>
          <w:rFonts w:ascii="Arial" w:cs="Arial" w:eastAsia="Arial" w:hAnsi="Arial"/>
          <w:color w:val="1F2937"/>
          <w:sz w:val="22"/>
          <w:szCs w:val="22"/>
        </w:rPr>
        <w:t xml:space="preserve">All CodeFlowX+ data is modeled around the IR (Intermediate Representation) node as the shared identifier across all four subsystems. Every flowchart node, dependency node, execution step, and coverage record references the same IR node ID.</w:t>
      </w:r>
    </w:p>
    <w:p>
      <w:pPr>
        <w:pStyle w:val="Heading2"/>
        <w:spacing w:before="240" w:after="120"/>
      </w:pPr>
      <w:r>
        <w:rPr>
          <w:rFonts w:ascii="Arial" w:cs="Arial" w:eastAsia="Arial" w:hAnsi="Arial"/>
          <w:b/>
          <w:bCs/>
          <w:color w:val="1A56DB"/>
          <w:sz w:val="26"/>
          <w:szCs w:val="26"/>
        </w:rPr>
        <w:t xml:space="preserve">7.1 IR Node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id</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Unique node identifier (UUID)</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type</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Node type: function_def | if_stmt | for_loop | while_loop | return | call | try_except | assignment</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language</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Source language: python | javascript | java | cpp</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name</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Human-readable label (function name, variable name, condition text)</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source_start</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Starting line number in source file</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source_end</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Ending line number in source file</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children</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List of child IR node IDs</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metadata</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Language-specific extra data (e.g. async flag, decorator list, access modifier)</w:t>
            </w:r>
          </w:p>
        </w:tc>
      </w:tr>
    </w:tbl>
    <w:p>
      <w:pPr>
        <w:pStyle w:val="Heading2"/>
        <w:spacing w:before="240" w:after="120"/>
      </w:pPr>
      <w:r>
        <w:rPr>
          <w:rFonts w:ascii="Arial" w:cs="Arial" w:eastAsia="Arial" w:hAnsi="Arial"/>
          <w:b/>
          <w:bCs/>
          <w:color w:val="1A56DB"/>
          <w:sz w:val="26"/>
          <w:szCs w:val="26"/>
        </w:rPr>
        <w:t xml:space="preserve">7.2 Flowchart Node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ir_node_id</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Reference to the source IR node</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shape</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Visual shape: rectangle | diamond | rounded | circle | parallelogram</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label</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Display text shown on the node</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position</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x, y } canvas coordinates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style</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Visual styling overrides (color, border)</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coverage_status</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covered | partial | uncovered | dead_code</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is_active</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Boolean — true when this node is the current execution step</w:t>
            </w:r>
          </w:p>
        </w:tc>
      </w:tr>
    </w:tbl>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8. Implementation Roadmap</w:t>
      </w:r>
    </w:p>
    <w:p>
      <w:pPr>
        <w:spacing w:before="80" w:after="80"/>
      </w:pPr>
      <w:r>
        <w:rPr>
          <w:rFonts w:ascii="Arial" w:cs="Arial" w:eastAsia="Arial" w:hAnsi="Arial"/>
          <w:color w:val="1F2937"/>
          <w:sz w:val="22"/>
          <w:szCs w:val="22"/>
        </w:rPr>
        <w:t xml:space="preserve">CodeFlowX+ is planned across five development phases, each building on the previous. Each phase produces a usable, demonstrable product milestone.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760"/>
        <w:gridCol w:w="1800"/>
      </w:tblGrid>
      <w:tr>
        <w:tc>
          <w:tcPr>
            <w:tcW w:type="dxa" w:w="12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6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37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Deliverables</w:t>
            </w:r>
          </w:p>
        </w:tc>
        <w:tc>
          <w:tcPr>
            <w:tcW w:type="dxa" w:w="18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r>
      <w:tr>
        <w:tc>
          <w:tcPr>
            <w:tcW w:type="dxa" w:w="1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Phase 1</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Flowchart Engine</w:t>
            </w:r>
          </w:p>
        </w:tc>
        <w:tc>
          <w:tcPr>
            <w:tcW w:type="dxa" w:w="3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Tree-sitter integration, IR transformer, React Flow canvas, Python + JS support, code editor</w:t>
            </w:r>
          </w:p>
        </w:tc>
        <w:tc>
          <w:tcPr>
            <w:tcW w:type="dxa" w:w="1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6–8 weeks</w:t>
            </w:r>
          </w:p>
        </w:tc>
      </w:tr>
      <w:tr>
        <w:tc>
          <w:tcPr>
            <w:tcW w:type="dxa" w:w="1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Phase 2</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Execution Visualizer</w:t>
            </w:r>
          </w:p>
        </w:tc>
        <w:tc>
          <w:tcPr>
            <w:tcW w:type="dxa" w:w="3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Step-by-step simulation engine, variable watch panel, WebSocket streaming, breakpoints</w:t>
            </w:r>
          </w:p>
        </w:tc>
        <w:tc>
          <w:tcPr>
            <w:tcW w:type="dxa" w:w="18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6–8 weeks</w:t>
            </w:r>
          </w:p>
        </w:tc>
      </w:tr>
      <w:tr>
        <w:tc>
          <w:tcPr>
            <w:tcW w:type="dxa" w:w="1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Phase 3</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Dependency Graph</w:t>
            </w:r>
          </w:p>
        </w:tc>
        <w:tc>
          <w:tcPr>
            <w:tcW w:type="dxa" w:w="3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Call graph extraction, module/class grouping, cross-function navigation, graph filters</w:t>
            </w:r>
          </w:p>
        </w:tc>
        <w:tc>
          <w:tcPr>
            <w:tcW w:type="dxa" w:w="1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5–7 weeks</w:t>
            </w:r>
          </w:p>
        </w:tc>
      </w:tr>
      <w:tr>
        <w:tc>
          <w:tcPr>
            <w:tcW w:type="dxa" w:w="12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Phase 4</w:t>
            </w:r>
          </w:p>
        </w:tc>
        <w:tc>
          <w:tcPr>
            <w:tcW w:type="dxa" w:w="2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Coverage Heatmap</w:t>
            </w:r>
          </w:p>
        </w:tc>
        <w:tc>
          <w:tcPr>
            <w:tcW w:type="dxa" w:w="3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Coverage XML/lcov import, IR node mapping, heatmap overlay on flowcharts, dead code detection</w:t>
            </w:r>
          </w:p>
        </w:tc>
        <w:tc>
          <w:tcPr>
            <w:tcW w:type="dxa" w:w="18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4–6 weeks</w:t>
            </w:r>
          </w:p>
        </w:tc>
      </w:tr>
      <w:tr>
        <w:tc>
          <w:tcPr>
            <w:tcW w:type="dxa" w:w="12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Phase 5</w:t>
            </w:r>
          </w:p>
        </w:tc>
        <w:tc>
          <w:tcPr>
            <w:tcW w:type="dxa" w:w="2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Integration &amp; Optimization</w:t>
            </w:r>
          </w:p>
        </w:tc>
        <w:tc>
          <w:tcPr>
            <w:tcW w:type="dxa" w:w="3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Cross-view linking, GitHub analysis, AI explanations, failure simulation, performance tuning</w:t>
            </w:r>
          </w:p>
        </w:tc>
        <w:tc>
          <w:tcPr>
            <w:tcW w:type="dxa" w:w="18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center"/>
            </w:pPr>
            <w:r>
              <w:rPr>
                <w:rFonts w:ascii="Arial" w:cs="Arial" w:eastAsia="Arial" w:hAnsi="Arial"/>
                <w:color w:val="1F2937"/>
                <w:sz w:val="20"/>
                <w:szCs w:val="20"/>
              </w:rPr>
              <w:t xml:space="preserve">6–10 weeks</w:t>
            </w:r>
          </w:p>
        </w:tc>
      </w:tr>
    </w:tbl>
    <w:p>
      <w:pPr>
        <w:spacing w:before="0" w:after="0"/>
      </w:pPr>
      <w:r>
        <w:t xml:space="preserve"/>
      </w:r>
    </w:p>
    <w:p>
      <w:pPr>
        <w:pStyle w:val="Heading2"/>
        <w:spacing w:before="240" w:after="120"/>
      </w:pPr>
      <w:r>
        <w:rPr>
          <w:rFonts w:ascii="Arial" w:cs="Arial" w:eastAsia="Arial" w:hAnsi="Arial"/>
          <w:b/>
          <w:bCs/>
          <w:color w:val="1A56DB"/>
          <w:sz w:val="26"/>
          <w:szCs w:val="26"/>
        </w:rPr>
        <w:t xml:space="preserve">8.1 Phase 1 — Flowchart Engine (Detailed)</w:t>
      </w:r>
    </w:p>
    <w:p>
      <w:pPr>
        <w:pStyle w:val="ListParagraph"/>
        <w:numPr>
          <w:ilvl w:val="0"/>
          <w:numId w:val="2"/>
        </w:numPr>
        <w:spacing w:before="60" w:after="60"/>
      </w:pPr>
      <w:r>
        <w:rPr>
          <w:rFonts w:ascii="Arial" w:cs="Arial" w:eastAsia="Arial" w:hAnsi="Arial"/>
          <w:color w:val="1F2937"/>
          <w:sz w:val="22"/>
          <w:szCs w:val="22"/>
        </w:rPr>
        <w:t xml:space="preserve">Set up React + TypeScript + Vite frontend scaffold.</w:t>
      </w:r>
    </w:p>
    <w:p>
      <w:pPr>
        <w:pStyle w:val="ListParagraph"/>
        <w:numPr>
          <w:ilvl w:val="0"/>
          <w:numId w:val="2"/>
        </w:numPr>
        <w:spacing w:before="60" w:after="60"/>
      </w:pPr>
      <w:r>
        <w:rPr>
          <w:rFonts w:ascii="Arial" w:cs="Arial" w:eastAsia="Arial" w:hAnsi="Arial"/>
          <w:color w:val="1F2937"/>
          <w:sz w:val="22"/>
          <w:szCs w:val="22"/>
        </w:rPr>
        <w:t xml:space="preserve">Integrate Monaco Editor for code input.</w:t>
      </w:r>
    </w:p>
    <w:p>
      <w:pPr>
        <w:pStyle w:val="ListParagraph"/>
        <w:numPr>
          <w:ilvl w:val="0"/>
          <w:numId w:val="2"/>
        </w:numPr>
        <w:spacing w:before="60" w:after="60"/>
      </w:pPr>
      <w:r>
        <w:rPr>
          <w:rFonts w:ascii="Arial" w:cs="Arial" w:eastAsia="Arial" w:hAnsi="Arial"/>
          <w:color w:val="1F2937"/>
          <w:sz w:val="22"/>
          <w:szCs w:val="22"/>
        </w:rPr>
        <w:t xml:space="preserve">Set up FastAPI backend with Tree-sitter Python bindings.</w:t>
      </w:r>
    </w:p>
    <w:p>
      <w:pPr>
        <w:pStyle w:val="ListParagraph"/>
        <w:numPr>
          <w:ilvl w:val="0"/>
          <w:numId w:val="2"/>
        </w:numPr>
        <w:spacing w:before="60" w:after="60"/>
      </w:pPr>
      <w:r>
        <w:rPr>
          <w:rFonts w:ascii="Arial" w:cs="Arial" w:eastAsia="Arial" w:hAnsi="Arial"/>
          <w:color w:val="1F2937"/>
          <w:sz w:val="22"/>
          <w:szCs w:val="22"/>
        </w:rPr>
        <w:t xml:space="preserve">Implement Tree-sitter grammar loading for Python and JavaScript.</w:t>
      </w:r>
    </w:p>
    <w:p>
      <w:pPr>
        <w:pStyle w:val="ListParagraph"/>
        <w:numPr>
          <w:ilvl w:val="0"/>
          <w:numId w:val="2"/>
        </w:numPr>
        <w:spacing w:before="60" w:after="60"/>
      </w:pPr>
      <w:r>
        <w:rPr>
          <w:rFonts w:ascii="Arial" w:cs="Arial" w:eastAsia="Arial" w:hAnsi="Arial"/>
          <w:color w:val="1F2937"/>
          <w:sz w:val="22"/>
          <w:szCs w:val="22"/>
        </w:rPr>
        <w:t xml:space="preserve">Build IR Node data model and AST-to-IR transformer.</w:t>
      </w:r>
    </w:p>
    <w:p>
      <w:pPr>
        <w:pStyle w:val="ListParagraph"/>
        <w:numPr>
          <w:ilvl w:val="0"/>
          <w:numId w:val="2"/>
        </w:numPr>
        <w:spacing w:before="60" w:after="60"/>
      </w:pPr>
      <w:r>
        <w:rPr>
          <w:rFonts w:ascii="Arial" w:cs="Arial" w:eastAsia="Arial" w:hAnsi="Arial"/>
          <w:color w:val="1F2937"/>
          <w:sz w:val="22"/>
          <w:szCs w:val="22"/>
        </w:rPr>
        <w:t xml:space="preserve">Build Flowchart Module: IR-to-flowchart-node/edge conversion.</w:t>
      </w:r>
    </w:p>
    <w:p>
      <w:pPr>
        <w:pStyle w:val="ListParagraph"/>
        <w:numPr>
          <w:ilvl w:val="0"/>
          <w:numId w:val="2"/>
        </w:numPr>
        <w:spacing w:before="60" w:after="60"/>
      </w:pPr>
      <w:r>
        <w:rPr>
          <w:rFonts w:ascii="Arial" w:cs="Arial" w:eastAsia="Arial" w:hAnsi="Arial"/>
          <w:color w:val="1F2937"/>
          <w:sz w:val="22"/>
          <w:szCs w:val="22"/>
        </w:rPr>
        <w:t xml:space="preserve">Integrate React Flow for canvas rendering.</w:t>
      </w:r>
    </w:p>
    <w:p>
      <w:pPr>
        <w:pStyle w:val="ListParagraph"/>
        <w:numPr>
          <w:ilvl w:val="0"/>
          <w:numId w:val="2"/>
        </w:numPr>
        <w:spacing w:before="60" w:after="60"/>
      </w:pPr>
      <w:r>
        <w:rPr>
          <w:rFonts w:ascii="Arial" w:cs="Arial" w:eastAsia="Arial" w:hAnsi="Arial"/>
          <w:color w:val="1F2937"/>
          <w:sz w:val="22"/>
          <w:szCs w:val="22"/>
        </w:rPr>
        <w:t xml:space="preserve">Implement node shapes (rectangle, diamond, rounded, terminal).</w:t>
      </w:r>
    </w:p>
    <w:p>
      <w:pPr>
        <w:pStyle w:val="ListParagraph"/>
        <w:numPr>
          <w:ilvl w:val="0"/>
          <w:numId w:val="2"/>
        </w:numPr>
        <w:spacing w:before="60" w:after="60"/>
      </w:pPr>
      <w:r>
        <w:rPr>
          <w:rFonts w:ascii="Arial" w:cs="Arial" w:eastAsia="Arial" w:hAnsi="Arial"/>
          <w:color w:val="1F2937"/>
          <w:sz w:val="22"/>
          <w:szCs w:val="22"/>
        </w:rPr>
        <w:t xml:space="preserve">Add zoom, pan, and minimap controls.</w:t>
      </w:r>
    </w:p>
    <w:p>
      <w:pPr>
        <w:pStyle w:val="ListParagraph"/>
        <w:numPr>
          <w:ilvl w:val="0"/>
          <w:numId w:val="2"/>
        </w:numPr>
        <w:spacing w:before="60" w:after="60"/>
      </w:pPr>
      <w:r>
        <w:rPr>
          <w:rFonts w:ascii="Arial" w:cs="Arial" w:eastAsia="Arial" w:hAnsi="Arial"/>
          <w:color w:val="1F2937"/>
          <w:sz w:val="22"/>
          <w:szCs w:val="22"/>
        </w:rPr>
        <w:t xml:space="preserve">Write unit tests for AST transformer and flowchart module.</w:t>
      </w:r>
    </w:p>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9. Use Cases</w:t>
      </w:r>
    </w:p>
    <w:p>
      <w:pPr>
        <w:pStyle w:val="Heading2"/>
        <w:spacing w:before="240" w:after="120"/>
      </w:pPr>
      <w:r>
        <w:rPr>
          <w:rFonts w:ascii="Arial" w:cs="Arial" w:eastAsia="Arial" w:hAnsi="Arial"/>
          <w:b/>
          <w:bCs/>
          <w:color w:val="1A56DB"/>
          <w:sz w:val="26"/>
          <w:szCs w:val="26"/>
        </w:rPr>
        <w:t xml:space="preserve">9.1 Software Education</w:t>
      </w:r>
    </w:p>
    <w:p>
      <w:pPr>
        <w:spacing w:before="80" w:after="80"/>
      </w:pPr>
      <w:r>
        <w:rPr>
          <w:rFonts w:ascii="Arial" w:cs="Arial" w:eastAsia="Arial" w:hAnsi="Arial"/>
          <w:color w:val="1F2937"/>
          <w:sz w:val="22"/>
          <w:szCs w:val="22"/>
        </w:rPr>
        <w:t xml:space="preserve">Computer science students and bootcamp learners can submit any code snippet and instantly see a visual flowchart of the algorithm's logic. Stepping through execution shows exactly how variables change at each step, making abstract concepts like recursion, sorting algorithms, or tree traversal tangible and intuitive.</w:t>
      </w:r>
    </w:p>
    <w:p>
      <w:pPr>
        <w:pStyle w:val="Heading2"/>
        <w:spacing w:before="240" w:after="120"/>
      </w:pPr>
      <w:r>
        <w:rPr>
          <w:rFonts w:ascii="Arial" w:cs="Arial" w:eastAsia="Arial" w:hAnsi="Arial"/>
          <w:b/>
          <w:bCs/>
          <w:color w:val="1A56DB"/>
          <w:sz w:val="26"/>
          <w:szCs w:val="26"/>
        </w:rPr>
        <w:t xml:space="preserve">9.2 Debugging &amp; Root Cause Analysis</w:t>
      </w:r>
    </w:p>
    <w:p>
      <w:pPr>
        <w:spacing w:before="80" w:after="80"/>
      </w:pPr>
      <w:r>
        <w:rPr>
          <w:rFonts w:ascii="Arial" w:cs="Arial" w:eastAsia="Arial" w:hAnsi="Arial"/>
          <w:color w:val="1F2937"/>
          <w:sz w:val="22"/>
          <w:szCs w:val="22"/>
        </w:rPr>
        <w:t xml:space="preserve">Engineers can submit a buggy function, run the Execution Visualizer with specific input values, and watch exactly which branch was taken and why. Coverage Heatmaps reveal paths that tests never exercise — paths that may harbor lurking bugs.</w:t>
      </w:r>
    </w:p>
    <w:p>
      <w:pPr>
        <w:pStyle w:val="Heading2"/>
        <w:spacing w:before="240" w:after="120"/>
      </w:pPr>
      <w:r>
        <w:rPr>
          <w:rFonts w:ascii="Arial" w:cs="Arial" w:eastAsia="Arial" w:hAnsi="Arial"/>
          <w:b/>
          <w:bCs/>
          <w:color w:val="1A56DB"/>
          <w:sz w:val="26"/>
          <w:szCs w:val="26"/>
        </w:rPr>
        <w:t xml:space="preserve">9.3 Code Review</w:t>
      </w:r>
    </w:p>
    <w:p>
      <w:pPr>
        <w:spacing w:before="80" w:after="80"/>
      </w:pPr>
      <w:r>
        <w:rPr>
          <w:rFonts w:ascii="Arial" w:cs="Arial" w:eastAsia="Arial" w:hAnsi="Arial"/>
          <w:color w:val="1F2937"/>
          <w:sz w:val="22"/>
          <w:szCs w:val="22"/>
        </w:rPr>
        <w:t xml:space="preserve">Reviewers can generate a Flowchart of the PR's changed functions to visually verify that the logic matches the intended behavior, without having to mentally simulate execution from reading the code text alone.</w:t>
      </w:r>
    </w:p>
    <w:p>
      <w:pPr>
        <w:pStyle w:val="Heading2"/>
        <w:spacing w:before="240" w:after="120"/>
      </w:pPr>
      <w:r>
        <w:rPr>
          <w:rFonts w:ascii="Arial" w:cs="Arial" w:eastAsia="Arial" w:hAnsi="Arial"/>
          <w:b/>
          <w:bCs/>
          <w:color w:val="1A56DB"/>
          <w:sz w:val="26"/>
          <w:szCs w:val="26"/>
        </w:rPr>
        <w:t xml:space="preserve">9.4 Onboarding &amp; Knowledge Transfer</w:t>
      </w:r>
    </w:p>
    <w:p>
      <w:pPr>
        <w:spacing w:before="80" w:after="80"/>
      </w:pPr>
      <w:r>
        <w:rPr>
          <w:rFonts w:ascii="Arial" w:cs="Arial" w:eastAsia="Arial" w:hAnsi="Arial"/>
          <w:color w:val="1F2937"/>
          <w:sz w:val="22"/>
          <w:szCs w:val="22"/>
        </w:rPr>
        <w:t xml:space="preserve">New team members can import a GitHub repository and immediately explore the Dependency Graph to understand the high-level architecture, then drill into individual functions via their Flowcharts to understand implementation details — without needing a senior engineer to walk them through it.</w:t>
      </w:r>
    </w:p>
    <w:p>
      <w:pPr>
        <w:pStyle w:val="Heading2"/>
        <w:spacing w:before="240" w:after="120"/>
      </w:pPr>
      <w:r>
        <w:rPr>
          <w:rFonts w:ascii="Arial" w:cs="Arial" w:eastAsia="Arial" w:hAnsi="Arial"/>
          <w:b/>
          <w:bCs/>
          <w:color w:val="1A56DB"/>
          <w:sz w:val="26"/>
          <w:szCs w:val="26"/>
        </w:rPr>
        <w:t xml:space="preserve">9.5 Interview Preparation</w:t>
      </w:r>
    </w:p>
    <w:p>
      <w:pPr>
        <w:spacing w:before="80" w:after="80"/>
      </w:pPr>
      <w:r>
        <w:rPr>
          <w:rFonts w:ascii="Arial" w:cs="Arial" w:eastAsia="Arial" w:hAnsi="Arial"/>
          <w:color w:val="1F2937"/>
          <w:sz w:val="22"/>
          <w:szCs w:val="22"/>
        </w:rPr>
        <w:t xml:space="preserve">Candidates preparing for technical interviews can visualize classic data structure and algorithm problems — linked list reversal, binary search, dynamic programming — and step through their solutions to verify correctness before presenting them.</w:t>
      </w:r>
    </w:p>
    <w:p>
      <w:pPr>
        <w:pStyle w:val="Heading2"/>
        <w:spacing w:before="240" w:after="120"/>
      </w:pPr>
      <w:r>
        <w:rPr>
          <w:rFonts w:ascii="Arial" w:cs="Arial" w:eastAsia="Arial" w:hAnsi="Arial"/>
          <w:b/>
          <w:bCs/>
          <w:color w:val="1A56DB"/>
          <w:sz w:val="26"/>
          <w:szCs w:val="26"/>
        </w:rPr>
        <w:t xml:space="preserve">9.6 System Design Understanding</w:t>
      </w:r>
    </w:p>
    <w:p>
      <w:pPr>
        <w:spacing w:before="80" w:after="80"/>
      </w:pPr>
      <w:r>
        <w:rPr>
          <w:rFonts w:ascii="Arial" w:cs="Arial" w:eastAsia="Arial" w:hAnsi="Arial"/>
          <w:color w:val="1F2937"/>
          <w:sz w:val="22"/>
          <w:szCs w:val="22"/>
        </w:rPr>
        <w:t xml:space="preserve">Architects can use the Dependency Graph's external service nodes to map the full call chain from a frontend API request through backend services, database queries, and external API calls — producing an auto-generated system interaction diagram.</w:t>
      </w:r>
    </w:p>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10. Open Source Contribution Guide</w:t>
      </w:r>
    </w:p>
    <w:p>
      <w:pPr>
        <w:spacing w:before="80" w:after="80"/>
      </w:pPr>
      <w:r>
        <w:rPr>
          <w:rFonts w:ascii="Arial" w:cs="Arial" w:eastAsia="Arial" w:hAnsi="Arial"/>
          <w:color w:val="1F2937"/>
          <w:sz w:val="22"/>
          <w:szCs w:val="22"/>
        </w:rPr>
        <w:t xml:space="preserve">CodeFlowX+ is built as an open-source project under the MIT License. Contributions from developers, students, and the broader engineering community are actively encouraged and welcomed.</w:t>
      </w:r>
    </w:p>
    <w:p>
      <w:pPr>
        <w:pStyle w:val="Heading2"/>
        <w:spacing w:before="240" w:after="120"/>
      </w:pPr>
      <w:r>
        <w:rPr>
          <w:rFonts w:ascii="Arial" w:cs="Arial" w:eastAsia="Arial" w:hAnsi="Arial"/>
          <w:b/>
          <w:bCs/>
          <w:color w:val="1A56DB"/>
          <w:sz w:val="26"/>
          <w:szCs w:val="26"/>
        </w:rPr>
        <w:t xml:space="preserve">10.1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/frontend</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React + TypeScript application (Vite, React Flow, Monaco Editor, Zustand)</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/backend</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FastAPI application (parsers, IR transformer, processing modules, API routes)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/backend/parsers</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Language-specific Tree-sitter grammar loaders and AST normalizers</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/backend/modules</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flowchart.py, execution.py, dependency.py, coverage.py — one file per subsystem</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/backend/ir</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IR Node schema, transformer logic, and IR utility functions</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/tests</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Unit and integration tests (pytest for backend, Vitest for frontend)</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/docs</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This documentation and supplementary technical specs</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/docker</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Docker Compose setup for local development environment</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/.github</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GitHub Actions CI/CD pipelines, issue templates, and PR templates</w:t>
            </w:r>
          </w:p>
        </w:tc>
      </w:tr>
    </w:tbl>
    <w:p>
      <w:pPr>
        <w:pStyle w:val="Heading2"/>
        <w:spacing w:before="240" w:after="120"/>
      </w:pPr>
      <w:r>
        <w:rPr>
          <w:rFonts w:ascii="Arial" w:cs="Arial" w:eastAsia="Arial" w:hAnsi="Arial"/>
          <w:b/>
          <w:bCs/>
          <w:color w:val="1A56DB"/>
          <w:sz w:val="26"/>
          <w:szCs w:val="26"/>
        </w:rPr>
        <w:t xml:space="preserve">10.2 How to Contribute</w:t>
      </w:r>
    </w:p>
    <w:p>
      <w:pPr>
        <w:pStyle w:val="ListParagraph"/>
        <w:numPr>
          <w:ilvl w:val="0"/>
          <w:numId w:val="3"/>
        </w:numPr>
        <w:spacing w:before="60" w:after="60"/>
      </w:pPr>
      <w:r>
        <w:rPr>
          <w:rFonts w:ascii="Arial" w:cs="Arial" w:eastAsia="Arial" w:hAnsi="Arial"/>
          <w:color w:val="1F2937"/>
          <w:sz w:val="22"/>
          <w:szCs w:val="22"/>
        </w:rPr>
        <w:t xml:space="preserve">Fork the repository on GitHub.</w:t>
      </w:r>
    </w:p>
    <w:p>
      <w:pPr>
        <w:pStyle w:val="ListParagraph"/>
        <w:numPr>
          <w:ilvl w:val="0"/>
          <w:numId w:val="3"/>
        </w:numPr>
        <w:spacing w:before="60" w:after="60"/>
      </w:pPr>
      <w:r>
        <w:rPr>
          <w:rFonts w:ascii="Arial" w:cs="Arial" w:eastAsia="Arial" w:hAnsi="Arial"/>
          <w:color w:val="1F2937"/>
          <w:sz w:val="22"/>
          <w:szCs w:val="22"/>
        </w:rPr>
        <w:t xml:space="preserve">Clone your fork: git clone https://github.com/YOUR_USERNAME/codeflowx-plus.git</w:t>
      </w:r>
    </w:p>
    <w:p>
      <w:pPr>
        <w:pStyle w:val="ListParagraph"/>
        <w:numPr>
          <w:ilvl w:val="0"/>
          <w:numId w:val="3"/>
        </w:numPr>
        <w:spacing w:before="60" w:after="60"/>
      </w:pPr>
      <w:r>
        <w:rPr>
          <w:rFonts w:ascii="Arial" w:cs="Arial" w:eastAsia="Arial" w:hAnsi="Arial"/>
          <w:color w:val="1F2937"/>
          <w:sz w:val="22"/>
          <w:szCs w:val="22"/>
        </w:rPr>
        <w:t xml:space="preserve">Create a feature branch: git checkout -b feature/your-feature-name</w:t>
      </w:r>
    </w:p>
    <w:p>
      <w:pPr>
        <w:pStyle w:val="ListParagraph"/>
        <w:numPr>
          <w:ilvl w:val="0"/>
          <w:numId w:val="3"/>
        </w:numPr>
        <w:spacing w:before="60" w:after="60"/>
      </w:pPr>
      <w:r>
        <w:rPr>
          <w:rFonts w:ascii="Arial" w:cs="Arial" w:eastAsia="Arial" w:hAnsi="Arial"/>
          <w:color w:val="1F2937"/>
          <w:sz w:val="22"/>
          <w:szCs w:val="22"/>
        </w:rPr>
        <w:t xml:space="preserve">Set up the local environment using Docker Compose: docker compose up --build</w:t>
      </w:r>
    </w:p>
    <w:p>
      <w:pPr>
        <w:pStyle w:val="ListParagraph"/>
        <w:numPr>
          <w:ilvl w:val="0"/>
          <w:numId w:val="3"/>
        </w:numPr>
        <w:spacing w:before="60" w:after="60"/>
      </w:pPr>
      <w:r>
        <w:rPr>
          <w:rFonts w:ascii="Arial" w:cs="Arial" w:eastAsia="Arial" w:hAnsi="Arial"/>
          <w:color w:val="1F2937"/>
          <w:sz w:val="22"/>
          <w:szCs w:val="22"/>
        </w:rPr>
        <w:t xml:space="preserve">Make your changes. Ensure tests pass: pytest (backend) or npm run test (frontend).</w:t>
      </w:r>
    </w:p>
    <w:p>
      <w:pPr>
        <w:pStyle w:val="ListParagraph"/>
        <w:numPr>
          <w:ilvl w:val="0"/>
          <w:numId w:val="3"/>
        </w:numPr>
        <w:spacing w:before="60" w:after="60"/>
      </w:pPr>
      <w:r>
        <w:rPr>
          <w:rFonts w:ascii="Arial" w:cs="Arial" w:eastAsia="Arial" w:hAnsi="Arial"/>
          <w:color w:val="1F2937"/>
          <w:sz w:val="22"/>
          <w:szCs w:val="22"/>
        </w:rPr>
        <w:t xml:space="preserve">Run the linter: ruff check . (backend) or npm run lint (frontend).</w:t>
      </w:r>
    </w:p>
    <w:p>
      <w:pPr>
        <w:pStyle w:val="ListParagraph"/>
        <w:numPr>
          <w:ilvl w:val="0"/>
          <w:numId w:val="3"/>
        </w:numPr>
        <w:spacing w:before="60" w:after="60"/>
      </w:pPr>
      <w:r>
        <w:rPr>
          <w:rFonts w:ascii="Arial" w:cs="Arial" w:eastAsia="Arial" w:hAnsi="Arial"/>
          <w:color w:val="1F2937"/>
          <w:sz w:val="22"/>
          <w:szCs w:val="22"/>
        </w:rPr>
        <w:t xml:space="preserve">Commit with a conventional commit message: feat: add Go language support</w:t>
      </w:r>
    </w:p>
    <w:p>
      <w:pPr>
        <w:pStyle w:val="ListParagraph"/>
        <w:numPr>
          <w:ilvl w:val="0"/>
          <w:numId w:val="3"/>
        </w:numPr>
        <w:spacing w:before="60" w:after="60"/>
      </w:pPr>
      <w:r>
        <w:rPr>
          <w:rFonts w:ascii="Arial" w:cs="Arial" w:eastAsia="Arial" w:hAnsi="Arial"/>
          <w:color w:val="1F2937"/>
          <w:sz w:val="22"/>
          <w:szCs w:val="22"/>
        </w:rPr>
        <w:t xml:space="preserve">Open a Pull Request against the main branch with a description of your changes.</w:t>
      </w:r>
    </w:p>
    <w:p>
      <w:pPr>
        <w:pStyle w:val="Heading2"/>
        <w:spacing w:before="240" w:after="120"/>
      </w:pPr>
      <w:r>
        <w:rPr>
          <w:rFonts w:ascii="Arial" w:cs="Arial" w:eastAsia="Arial" w:hAnsi="Arial"/>
          <w:b/>
          <w:bCs/>
          <w:color w:val="1A56DB"/>
          <w:sz w:val="26"/>
          <w:szCs w:val="26"/>
        </w:rPr>
        <w:t xml:space="preserve">10.3 Contribution Areas</w:t>
      </w:r>
    </w:p>
    <w:p>
      <w:pPr>
        <w:pStyle w:val="ListParagraph"/>
        <w:numPr>
          <w:ilvl w:val="0"/>
          <w:numId w:val="2"/>
        </w:numPr>
        <w:spacing w:before="60" w:after="60"/>
      </w:pPr>
      <w:r>
        <w:rPr>
          <w:rFonts w:ascii="Arial" w:cs="Arial" w:eastAsia="Arial" w:hAnsi="Arial"/>
          <w:color w:val="1F2937"/>
          <w:sz w:val="22"/>
          <w:szCs w:val="22"/>
        </w:rPr>
        <w:t xml:space="preserve">Language Support: Add Tree-sitter grammars and IR transformers for new languages (Go, Rust, C++, Ruby, PHP).</w:t>
      </w:r>
    </w:p>
    <w:p>
      <w:pPr>
        <w:pStyle w:val="ListParagraph"/>
        <w:numPr>
          <w:ilvl w:val="0"/>
          <w:numId w:val="2"/>
        </w:numPr>
        <w:spacing w:before="60" w:after="60"/>
      </w:pPr>
      <w:r>
        <w:rPr>
          <w:rFonts w:ascii="Arial" w:cs="Arial" w:eastAsia="Arial" w:hAnsi="Arial"/>
          <w:color w:val="1F2937"/>
          <w:sz w:val="22"/>
          <w:szCs w:val="22"/>
        </w:rPr>
        <w:t xml:space="preserve">Frontend Components: Improve the React Flow canvas, add new node styles, or enhance the Monaco Editor integration.</w:t>
      </w:r>
    </w:p>
    <w:p>
      <w:pPr>
        <w:pStyle w:val="ListParagraph"/>
        <w:numPr>
          <w:ilvl w:val="0"/>
          <w:numId w:val="2"/>
        </w:numPr>
        <w:spacing w:before="60" w:after="60"/>
      </w:pPr>
      <w:r>
        <w:rPr>
          <w:rFonts w:ascii="Arial" w:cs="Arial" w:eastAsia="Arial" w:hAnsi="Arial"/>
          <w:color w:val="1F2937"/>
          <w:sz w:val="22"/>
          <w:szCs w:val="22"/>
        </w:rPr>
        <w:t xml:space="preserve">Execution Engine: Improve simulation accuracy, add support for more statement types, or implement reverse debugging.</w:t>
      </w:r>
    </w:p>
    <w:p>
      <w:pPr>
        <w:pStyle w:val="ListParagraph"/>
        <w:numPr>
          <w:ilvl w:val="0"/>
          <w:numId w:val="2"/>
        </w:numPr>
        <w:spacing w:before="60" w:after="60"/>
      </w:pPr>
      <w:r>
        <w:rPr>
          <w:rFonts w:ascii="Arial" w:cs="Arial" w:eastAsia="Arial" w:hAnsi="Arial"/>
          <w:color w:val="1F2937"/>
          <w:sz w:val="22"/>
          <w:szCs w:val="22"/>
        </w:rPr>
        <w:t xml:space="preserve">Coverage Importers: Add support for new coverage report formats (cobertura, Clover, etc.).</w:t>
      </w:r>
    </w:p>
    <w:p>
      <w:pPr>
        <w:pStyle w:val="ListParagraph"/>
        <w:numPr>
          <w:ilvl w:val="0"/>
          <w:numId w:val="2"/>
        </w:numPr>
        <w:spacing w:before="60" w:after="60"/>
      </w:pPr>
      <w:r>
        <w:rPr>
          <w:rFonts w:ascii="Arial" w:cs="Arial" w:eastAsia="Arial" w:hAnsi="Arial"/>
          <w:color w:val="1F2937"/>
          <w:sz w:val="22"/>
          <w:szCs w:val="22"/>
        </w:rPr>
        <w:t xml:space="preserve">AI Explanations: Improve prompting strategies for more accurate and contextual explanations.</w:t>
      </w:r>
    </w:p>
    <w:p>
      <w:pPr>
        <w:pStyle w:val="ListParagraph"/>
        <w:numPr>
          <w:ilvl w:val="0"/>
          <w:numId w:val="2"/>
        </w:numPr>
        <w:spacing w:before="60" w:after="60"/>
      </w:pPr>
      <w:r>
        <w:rPr>
          <w:rFonts w:ascii="Arial" w:cs="Arial" w:eastAsia="Arial" w:hAnsi="Arial"/>
          <w:color w:val="1F2937"/>
          <w:sz w:val="22"/>
          <w:szCs w:val="22"/>
        </w:rPr>
        <w:t xml:space="preserve">Documentation: Write tutorials, how-to guides, language support docs, and API references.</w:t>
      </w:r>
    </w:p>
    <w:p>
      <w:pPr>
        <w:pStyle w:val="ListParagraph"/>
        <w:numPr>
          <w:ilvl w:val="0"/>
          <w:numId w:val="2"/>
        </w:numPr>
        <w:spacing w:before="60" w:after="60"/>
      </w:pPr>
      <w:r>
        <w:rPr>
          <w:rFonts w:ascii="Arial" w:cs="Arial" w:eastAsia="Arial" w:hAnsi="Arial"/>
          <w:color w:val="1F2937"/>
          <w:sz w:val="22"/>
          <w:szCs w:val="22"/>
        </w:rPr>
        <w:t xml:space="preserve">Tests: Increase test coverage with unit, integration, and end-to-end tests.</w:t>
      </w:r>
    </w:p>
    <w:p>
      <w:pPr>
        <w:pStyle w:val="Heading2"/>
        <w:spacing w:before="240" w:after="120"/>
      </w:pPr>
      <w:r>
        <w:rPr>
          <w:rFonts w:ascii="Arial" w:cs="Arial" w:eastAsia="Arial" w:hAnsi="Arial"/>
          <w:b/>
          <w:bCs/>
          <w:color w:val="1A56DB"/>
          <w:sz w:val="26"/>
          <w:szCs w:val="26"/>
        </w:rPr>
        <w:t xml:space="preserve">10.4 Code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Python Style</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PEP 8 compliance enforced by ruff. Type hints required on all public functions.</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TypeScript Style</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ESLint + Prettier. Strict TypeScript mode enabled. No implicit any.</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Commit Messages</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Conventional Commits format: feat:, fix:, docs:, test:, refactor:, chore:</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PR Size</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Keep PRs focused. Large features should be broken into multiple smaller PRs.</w:t>
            </w:r>
          </w:p>
        </w:tc>
      </w:tr>
      <w:tr>
        <w:tc>
          <w:tcPr>
            <w:tcW w:type="dxa" w:w="24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Test Coverage</w:t>
            </w:r>
          </w:p>
        </w:tc>
        <w:tc>
          <w:tcPr>
            <w:tcW w:type="dxa" w:w="69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New backend code must maintain 80%+ test coverage. No PRs accepted below threshold.</w:t>
            </w:r>
          </w:p>
        </w:tc>
      </w:tr>
      <w:tr>
        <w:tc>
          <w:tcPr>
            <w:tcW w:type="dxa" w:w="24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Documentation</w:t>
            </w:r>
          </w:p>
        </w:tc>
        <w:tc>
          <w:tcPr>
            <w:tcW w:type="dxa" w:w="69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All public API endpoints and exported functions must include docstrings/JSDoc comments.</w:t>
            </w:r>
          </w:p>
        </w:tc>
      </w:tr>
    </w:tbl>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11. Non-Functional Requirements</w:t>
      </w:r>
    </w:p>
    <w:p>
      <w:pPr>
        <w:pStyle w:val="Heading2"/>
        <w:spacing w:before="240" w:after="120"/>
      </w:pPr>
      <w:r>
        <w:rPr>
          <w:rFonts w:ascii="Arial" w:cs="Arial" w:eastAsia="Arial" w:hAnsi="Arial"/>
          <w:b/>
          <w:bCs/>
          <w:color w:val="1A56DB"/>
          <w:sz w:val="26"/>
          <w:szCs w:val="26"/>
        </w:rPr>
        <w:t xml:space="preserve">11.1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57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Flowchart Generation (&lt; 500 LOC)</w:t>
            </w:r>
          </w:p>
        </w:tc>
        <w:tc>
          <w:tcPr>
            <w:tcW w:type="dxa" w:w="5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&lt; 800ms end-to-end (API + render)</w:t>
            </w:r>
          </w:p>
        </w:tc>
      </w:tr>
      <w:tr>
        <w:tc>
          <w:tcPr>
            <w:tcW w:type="dxa" w:w="3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Flowchart Generation (500–5000 LOC)</w:t>
            </w:r>
          </w:p>
        </w:tc>
        <w:tc>
          <w:tcPr>
            <w:tcW w:type="dxa" w:w="5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&lt; 3s with background processing indicator</w:t>
            </w:r>
          </w:p>
        </w:tc>
      </w:tr>
      <w:tr>
        <w:tc>
          <w:tcPr>
            <w:tcW w:type="dxa" w:w="3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Execution Step Navigation</w:t>
            </w:r>
          </w:p>
        </w:tc>
        <w:tc>
          <w:tcPr>
            <w:tcW w:type="dxa" w:w="5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&lt; 50ms per step transition in the UI</w:t>
            </w:r>
          </w:p>
        </w:tc>
      </w:tr>
      <w:tr>
        <w:tc>
          <w:tcPr>
            <w:tcW w:type="dxa" w:w="3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Dependency Graph (&lt; 100 nodes)</w:t>
            </w:r>
          </w:p>
        </w:tc>
        <w:tc>
          <w:tcPr>
            <w:tcW w:type="dxa" w:w="5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&lt; 1.5s to render and layout</w:t>
            </w:r>
          </w:p>
        </w:tc>
      </w:tr>
      <w:tr>
        <w:tc>
          <w:tcPr>
            <w:tcW w:type="dxa" w:w="36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GitHub Repo Analysis (&lt; 50 files)</w:t>
            </w:r>
          </w:p>
        </w:tc>
        <w:tc>
          <w:tcPr>
            <w:tcW w:type="dxa" w:w="57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&lt; 30s with real-time progress updates</w:t>
            </w:r>
          </w:p>
        </w:tc>
      </w:tr>
      <w:tr>
        <w:tc>
          <w:tcPr>
            <w:tcW w:type="dxa" w:w="36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Coverage Overlay Application</w:t>
            </w:r>
          </w:p>
        </w:tc>
        <w:tc>
          <w:tcPr>
            <w:tcW w:type="dxa" w:w="57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&lt; 200ms to apply a coverage XML to an existing flowchart</w:t>
            </w:r>
          </w:p>
        </w:tc>
      </w:tr>
    </w:tbl>
    <w:p>
      <w:pPr>
        <w:pStyle w:val="Heading2"/>
        <w:spacing w:before="240" w:after="120"/>
      </w:pPr>
      <w:r>
        <w:rPr>
          <w:rFonts w:ascii="Arial" w:cs="Arial" w:eastAsia="Arial" w:hAnsi="Arial"/>
          <w:b/>
          <w:bCs/>
          <w:color w:val="1A56DB"/>
          <w:sz w:val="26"/>
          <w:szCs w:val="26"/>
        </w:rPr>
        <w:t xml:space="preserve">11.2 Scalability Design</w:t>
      </w:r>
    </w:p>
    <w:p>
      <w:pPr>
        <w:pStyle w:val="ListParagraph"/>
        <w:numPr>
          <w:ilvl w:val="0"/>
          <w:numId w:val="2"/>
        </w:numPr>
        <w:spacing w:before="60" w:after="60"/>
      </w:pPr>
      <w:r>
        <w:rPr>
          <w:rFonts w:ascii="Arial" w:cs="Arial" w:eastAsia="Arial" w:hAnsi="Arial"/>
          <w:color w:val="1F2937"/>
          <w:sz w:val="22"/>
          <w:szCs w:val="22"/>
        </w:rPr>
        <w:t xml:space="preserve">Stateless backend API — all analysis state is returned to the client or stored in Redis for async jobs.</w:t>
      </w:r>
    </w:p>
    <w:p>
      <w:pPr>
        <w:pStyle w:val="ListParagraph"/>
        <w:numPr>
          <w:ilvl w:val="0"/>
          <w:numId w:val="2"/>
        </w:numPr>
        <w:spacing w:before="60" w:after="60"/>
      </w:pPr>
      <w:r>
        <w:rPr>
          <w:rFonts w:ascii="Arial" w:cs="Arial" w:eastAsia="Arial" w:hAnsi="Arial"/>
          <w:color w:val="1F2937"/>
          <w:sz w:val="22"/>
          <w:szCs w:val="22"/>
        </w:rPr>
        <w:t xml:space="preserve">Celery task queue absorbs large repository analysis workloads without blocking the API.</w:t>
      </w:r>
    </w:p>
    <w:p>
      <w:pPr>
        <w:pStyle w:val="ListParagraph"/>
        <w:numPr>
          <w:ilvl w:val="0"/>
          <w:numId w:val="2"/>
        </w:numPr>
        <w:spacing w:before="60" w:after="60"/>
      </w:pPr>
      <w:r>
        <w:rPr>
          <w:rFonts w:ascii="Arial" w:cs="Arial" w:eastAsia="Arial" w:hAnsi="Arial"/>
          <w:color w:val="1F2937"/>
          <w:sz w:val="22"/>
          <w:szCs w:val="22"/>
        </w:rPr>
        <w:t xml:space="preserve">Frontend graph virtualization (react-flow-renderer windowing) ensures large graphs (500+ nodes) remain performant.</w:t>
      </w:r>
    </w:p>
    <w:p>
      <w:pPr>
        <w:pStyle w:val="ListParagraph"/>
        <w:numPr>
          <w:ilvl w:val="0"/>
          <w:numId w:val="2"/>
        </w:numPr>
        <w:spacing w:before="60" w:after="60"/>
      </w:pPr>
      <w:r>
        <w:rPr>
          <w:rFonts w:ascii="Arial" w:cs="Arial" w:eastAsia="Arial" w:hAnsi="Arial"/>
          <w:color w:val="1F2937"/>
          <w:sz w:val="22"/>
          <w:szCs w:val="22"/>
        </w:rPr>
        <w:t xml:space="preserve">Horizontal scaling of the FastAPI backend via Docker Swarm or Kubernetes.</w:t>
      </w:r>
    </w:p>
    <w:p>
      <w:pPr>
        <w:pStyle w:val="Heading2"/>
        <w:spacing w:before="240" w:after="120"/>
      </w:pPr>
      <w:r>
        <w:rPr>
          <w:rFonts w:ascii="Arial" w:cs="Arial" w:eastAsia="Arial" w:hAnsi="Arial"/>
          <w:b/>
          <w:bCs/>
          <w:color w:val="1A56DB"/>
          <w:sz w:val="26"/>
          <w:szCs w:val="26"/>
        </w:rPr>
        <w:t xml:space="preserve">11.3 Security</w:t>
      </w:r>
    </w:p>
    <w:p>
      <w:pPr>
        <w:pStyle w:val="ListParagraph"/>
        <w:numPr>
          <w:ilvl w:val="0"/>
          <w:numId w:val="2"/>
        </w:numPr>
        <w:spacing w:before="60" w:after="60"/>
      </w:pPr>
      <w:r>
        <w:rPr>
          <w:rFonts w:ascii="Arial" w:cs="Arial" w:eastAsia="Arial" w:hAnsi="Arial"/>
          <w:color w:val="1F2937"/>
          <w:sz w:val="22"/>
          <w:szCs w:val="22"/>
        </w:rPr>
        <w:t xml:space="preserve">Code submission sandboxing — Tree-sitter is a pure parser; no submitted code is ever executed on the server in Phase 1–3.</w:t>
      </w:r>
    </w:p>
    <w:p>
      <w:pPr>
        <w:pStyle w:val="ListParagraph"/>
        <w:numPr>
          <w:ilvl w:val="0"/>
          <w:numId w:val="2"/>
        </w:numPr>
        <w:spacing w:before="60" w:after="60"/>
      </w:pPr>
      <w:r>
        <w:rPr>
          <w:rFonts w:ascii="Arial" w:cs="Arial" w:eastAsia="Arial" w:hAnsi="Arial"/>
          <w:color w:val="1F2937"/>
          <w:sz w:val="22"/>
          <w:szCs w:val="22"/>
        </w:rPr>
        <w:t xml:space="preserve">Execution Visualizer (Phase 2) runs in a strictly sandboxed Python subprocess with CPU/memory limits, no network access, and no filesystem write access.</w:t>
      </w:r>
    </w:p>
    <w:p>
      <w:pPr>
        <w:pStyle w:val="ListParagraph"/>
        <w:numPr>
          <w:ilvl w:val="0"/>
          <w:numId w:val="2"/>
        </w:numPr>
        <w:spacing w:before="60" w:after="60"/>
      </w:pPr>
      <w:r>
        <w:rPr>
          <w:rFonts w:ascii="Arial" w:cs="Arial" w:eastAsia="Arial" w:hAnsi="Arial"/>
          <w:color w:val="1F2937"/>
          <w:sz w:val="22"/>
          <w:szCs w:val="22"/>
        </w:rPr>
        <w:t xml:space="preserve">GitHub integration uses OAuth2 with read-only repository scope by default.</w:t>
      </w:r>
    </w:p>
    <w:p>
      <w:pPr>
        <w:pStyle w:val="ListParagraph"/>
        <w:numPr>
          <w:ilvl w:val="0"/>
          <w:numId w:val="2"/>
        </w:numPr>
        <w:spacing w:before="60" w:after="60"/>
      </w:pPr>
      <w:r>
        <w:rPr>
          <w:rFonts w:ascii="Arial" w:cs="Arial" w:eastAsia="Arial" w:hAnsi="Arial"/>
          <w:color w:val="1F2937"/>
          <w:sz w:val="22"/>
          <w:szCs w:val="22"/>
        </w:rPr>
        <w:t xml:space="preserve">All API endpoints are authenticated via JWT. Token refresh is supported.</w:t>
      </w:r>
    </w:p>
    <w:p>
      <w:pPr>
        <w:pStyle w:val="ListParagraph"/>
        <w:numPr>
          <w:ilvl w:val="0"/>
          <w:numId w:val="2"/>
        </w:numPr>
        <w:spacing w:before="60" w:after="60"/>
      </w:pPr>
      <w:r>
        <w:rPr>
          <w:rFonts w:ascii="Arial" w:cs="Arial" w:eastAsia="Arial" w:hAnsi="Arial"/>
          <w:color w:val="1F2937"/>
          <w:sz w:val="22"/>
          <w:szCs w:val="22"/>
        </w:rPr>
        <w:t xml:space="preserve">Input code is size-limited (default: 500KB per submission) to prevent DoS.</w:t>
      </w:r>
    </w:p>
    <w:p>
      <w:pPr>
        <w:pStyle w:val="Heading2"/>
        <w:spacing w:before="240" w:after="120"/>
      </w:pPr>
      <w:r>
        <w:rPr>
          <w:rFonts w:ascii="Arial" w:cs="Arial" w:eastAsia="Arial" w:hAnsi="Arial"/>
          <w:b/>
          <w:bCs/>
          <w:color w:val="1A56DB"/>
          <w:sz w:val="26"/>
          <w:szCs w:val="26"/>
        </w:rPr>
        <w:t xml:space="preserve">11.4 Accessibility</w:t>
      </w:r>
    </w:p>
    <w:p>
      <w:pPr>
        <w:pStyle w:val="ListParagraph"/>
        <w:numPr>
          <w:ilvl w:val="0"/>
          <w:numId w:val="2"/>
        </w:numPr>
        <w:spacing w:before="60" w:after="60"/>
      </w:pPr>
      <w:r>
        <w:rPr>
          <w:rFonts w:ascii="Arial" w:cs="Arial" w:eastAsia="Arial" w:hAnsi="Arial"/>
          <w:color w:val="1F2937"/>
          <w:sz w:val="22"/>
          <w:szCs w:val="22"/>
        </w:rPr>
        <w:t xml:space="preserve">All interactive UI elements are keyboard-navigable.</w:t>
      </w:r>
    </w:p>
    <w:p>
      <w:pPr>
        <w:pStyle w:val="ListParagraph"/>
        <w:numPr>
          <w:ilvl w:val="0"/>
          <w:numId w:val="2"/>
        </w:numPr>
        <w:spacing w:before="60" w:after="60"/>
      </w:pPr>
      <w:r>
        <w:rPr>
          <w:rFonts w:ascii="Arial" w:cs="Arial" w:eastAsia="Arial" w:hAnsi="Arial"/>
          <w:color w:val="1F2937"/>
          <w:sz w:val="22"/>
          <w:szCs w:val="22"/>
        </w:rPr>
        <w:t xml:space="preserve">Flowchart nodes include ARIA labels for screen reader compatibility.</w:t>
      </w:r>
    </w:p>
    <w:p>
      <w:pPr>
        <w:pStyle w:val="ListParagraph"/>
        <w:numPr>
          <w:ilvl w:val="0"/>
          <w:numId w:val="2"/>
        </w:numPr>
        <w:spacing w:before="60" w:after="60"/>
      </w:pPr>
      <w:r>
        <w:rPr>
          <w:rFonts w:ascii="Arial" w:cs="Arial" w:eastAsia="Arial" w:hAnsi="Arial"/>
          <w:color w:val="1F2937"/>
          <w:sz w:val="22"/>
          <w:szCs w:val="22"/>
        </w:rPr>
        <w:t xml:space="preserve">Color-blind safe palette for Coverage Heatmap (uses pattern overlays in addition to color).</w:t>
      </w:r>
    </w:p>
    <w:p>
      <w:pPr>
        <w:pStyle w:val="ListParagraph"/>
        <w:numPr>
          <w:ilvl w:val="0"/>
          <w:numId w:val="2"/>
        </w:numPr>
        <w:spacing w:before="60" w:after="60"/>
      </w:pPr>
      <w:r>
        <w:rPr>
          <w:rFonts w:ascii="Arial" w:cs="Arial" w:eastAsia="Arial" w:hAnsi="Arial"/>
          <w:color w:val="1F2937"/>
          <w:sz w:val="22"/>
          <w:szCs w:val="22"/>
        </w:rPr>
        <w:t xml:space="preserve">Dark and light mode support with system preference detection.</w:t>
      </w:r>
    </w:p>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12. Future Roadmap</w:t>
      </w:r>
    </w:p>
    <w:p>
      <w:pPr>
        <w:spacing w:before="80" w:after="80"/>
      </w:pPr>
      <w:r>
        <w:rPr>
          <w:rFonts w:ascii="Arial" w:cs="Arial" w:eastAsia="Arial" w:hAnsi="Arial"/>
          <w:color w:val="1F2937"/>
          <w:sz w:val="22"/>
          <w:szCs w:val="22"/>
        </w:rPr>
        <w:t xml:space="preserve">The following features are planned beyond the initial five implementation phases, subject to community feedback and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3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Multi-file Execution Simulation</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Step through execution that spans multiple files, following function calls across module boundaries.</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Live Collaboration</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Real-time multi-user editing and annotation of flowcharts and dependency graphs (similar to Figma collaboration).</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VS Code Extension</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Integrate CodeFlowX+ directly into the VS Code IDE as a side panel, triggered on function hover or right-click.</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CI/CD Integration</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GitHub Action to auto-generate and publish flowchart documentation on every PR merge.</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Diff Flowcharts</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Show structural differences between two versions of a function as a side-by-side or overlay flowchart.</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Performance Profiling Overlay</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Import profiling data (cProfile, py-spy) and overlay execution time per node on the flowchart.</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Natural Language Code Search</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Search a codebase using natural language queries; results highlighted in the Dependency Graph.</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Mobile App</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Read-only mobile viewer for exploring flowcharts and dependency graphs on iOS and Android.</w:t>
            </w:r>
          </w:p>
        </w:tc>
      </w:tr>
    </w:tbl>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360"/>
            <w:tcBorders>
              <w:top w:val="single" w:color="1A56DB" w:sz="1"/>
              <w:left w:val="single" w:color="1A56DB" w:sz="1"/>
              <w:bottom w:val="single" w:color="1A56DB" w:sz="1"/>
              <w:right w:val="single" w:color="1A56DB" w:sz="1"/>
            </w:tcBorders>
            <w:shd w:fill="1E3A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AST (Abstract Syntax Tree)</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tree representation of the structure of source code, produced by a language parser.</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IR (Intermediate Representation)</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CodeFlowX+'s language-agnostic internal data model that all four processing modules consume.</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Tree-sitter</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An open-source, incremental parsing library that supports 40+ programming languages.</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Flowchart</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visual diagram of code logic using standard notation: process boxes, decision diamonds, and connectors.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Execution Visualizer</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The CodeFlowX+ subsystem that simulates code execution step-by-step without running code on a real machine.</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Dependency Graph</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visual map of function call relationships, module imports, and service dependencies.</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Coverage Heatmap</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visual overlay showing which code paths are covered, partially covered, or missed by tests.</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Failure Simulation</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CodeFlowX+ feature that marks functions as failed and shows cascading impact across the Dependency Graph.</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React Flow</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An open-source React library for rendering interactive node-based graphs and flowcharts.</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FastAPI</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modern, high-performance Python web framework for building REST APIs with automatic OpenAPI documentation.</w:t>
            </w:r>
          </w:p>
        </w:tc>
      </w:tr>
      <w:tr>
        <w:tc>
          <w:tcPr>
            <w:tcW w:type="dxa" w:w="300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r>
              <w:rPr>
                <w:rFonts w:ascii="Arial" w:cs="Arial" w:eastAsia="Arial" w:hAnsi="Arial"/>
                <w:b/>
                <w:bCs/>
                <w:color w:val="1A56DB"/>
                <w:sz w:val="20"/>
                <w:szCs w:val="20"/>
              </w:rPr>
              <w:t xml:space="preserve">Celery</w:t>
            </w:r>
          </w:p>
        </w:tc>
        <w:tc>
          <w:tcPr>
            <w:tcW w:type="dxa" w:w="6360"/>
            <w:tcBorders>
              <w:top w:val="single" w:color="93C5FD" w:sz="1"/>
              <w:left w:val="single" w:color="93C5FD" w:sz="1"/>
              <w:bottom w:val="single" w:color="93C5FD" w:sz="1"/>
              <w:right w:val="single" w:color="93C5FD" w:sz="1"/>
            </w:tcBorders>
            <w:shd w:fill="EFF6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 distributed task queue for Python used to process long-running analysis jobs asynchronously.</w:t>
            </w:r>
          </w:p>
        </w:tc>
      </w:tr>
      <w:tr>
        <w:tc>
          <w:tcPr>
            <w:tcW w:type="dxa" w:w="300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r>
              <w:rPr>
                <w:rFonts w:ascii="Arial" w:cs="Arial" w:eastAsia="Arial" w:hAnsi="Arial"/>
                <w:b/>
                <w:bCs/>
                <w:color w:val="1A56DB"/>
                <w:sz w:val="20"/>
                <w:szCs w:val="20"/>
              </w:rPr>
              <w:t xml:space="preserve">Blast Radius</w:t>
            </w:r>
          </w:p>
        </w:tc>
        <w:tc>
          <w:tcPr>
            <w:tcW w:type="dxa" w:w="6360"/>
            <w:tcBorders>
              <w:top w:val="single" w:color="93C5FD" w:sz="1"/>
              <w:left w:val="single" w:color="93C5FD" w:sz="1"/>
              <w:bottom w:val="single" w:color="93C5FD" w:sz="1"/>
              <w:right w:val="single" w:color="93C5FD"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The set of functions and modules affected when a specific function fails or becomes unavailable.</w:t>
            </w:r>
          </w:p>
        </w:tc>
      </w:tr>
    </w:tbl>
    <w:p>
      <w:pPr>
        <w:spacing w:before="0" w:after="0"/>
      </w:pPr>
      <w:r>
        <w:t xml:space="preserve"/>
      </w:r>
    </w:p>
    <w:p>
      <w:pPr>
        <w:pBdr>
          <w:bottom w:val="single" w:color="BFDBFE" w:sz="4" w:space="1"/>
        </w:pBdr>
        <w:spacing w:before="160" w:after="160"/>
      </w:pPr>
      <w:r>
        <w:t xml:space="preserve"/>
      </w:r>
    </w:p>
    <w:p>
      <w:pPr>
        <w:pStyle w:val="Heading1"/>
        <w:pBdr>
          <w:bottom w:val="single" w:color="1A56DB" w:sz="6" w:space="1"/>
        </w:pBdr>
        <w:spacing w:before="320" w:after="160"/>
      </w:pPr>
      <w:r>
        <w:rPr>
          <w:rFonts w:ascii="Arial" w:cs="Arial" w:eastAsia="Arial" w:hAnsi="Arial"/>
          <w:b/>
          <w:bCs/>
          <w:color w:val="1E3A8A"/>
          <w:sz w:val="32"/>
          <w:szCs w:val="32"/>
        </w:rPr>
        <w:t xml:space="preserve">14. Conclusion</w:t>
      </w:r>
    </w:p>
    <w:p>
      <w:pPr>
        <w:spacing w:before="80" w:after="80"/>
      </w:pPr>
      <w:r>
        <w:rPr>
          <w:rFonts w:ascii="Arial" w:cs="Arial" w:eastAsia="Arial" w:hAnsi="Arial"/>
          <w:color w:val="1F2937"/>
          <w:sz w:val="22"/>
          <w:szCs w:val="22"/>
        </w:rPr>
        <w:t xml:space="preserve">CodeFlowX+ represents a significant step forward in making software universally understandable. By unifying four complementary analysis capabilities — Flowchart generation, Execution Simulation, Dependency Mapping, and Coverage Analysis — into a single, deeply integrated platform, CodeFlowX+ addresses the core comprehension challenges faced by developers and learners across the entire software engineering lifecycle.</w:t>
      </w:r>
    </w:p>
    <w:p>
      <w:pPr>
        <w:spacing w:before="80" w:after="80"/>
      </w:pPr>
      <w:r>
        <w:rPr>
          <w:rFonts w:ascii="Arial" w:cs="Arial" w:eastAsia="Arial" w:hAnsi="Arial"/>
          <w:color w:val="1F2937"/>
          <w:sz w:val="22"/>
          <w:szCs w:val="22"/>
        </w:rPr>
        <w:t xml:space="preserve">The platform's open-source nature means it can grow through community contributions, adding language support, new visualization modes, and integration features far beyond what any single team could build alone. Its phased implementation roadmap ensures that each milestone delivers standalone value, building incrementally toward a world-class code understanding tool.</w:t>
      </w:r>
    </w:p>
    <w:p>
      <w:pPr>
        <w:spacing w:before="80" w:after="80"/>
      </w:pPr>
      <w:r>
        <w:rPr>
          <w:rFonts w:ascii="Arial" w:cs="Arial" w:eastAsia="Arial" w:hAnsi="Arial"/>
          <w:color w:val="1F2937"/>
          <w:sz w:val="22"/>
          <w:szCs w:val="22"/>
        </w:rPr>
        <w:t xml:space="preserve">Whether used for debugging a production issue, onboarding to a new codebase, preparing for a technical interview, or teaching algorithms to a class of students — CodeFlowX+ provides the visual clarity that code alone cannot offer.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  Ready to Build</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CodeFlowX+ is open for contributions. Visit the GitHub repository to get started.</w:t>
            </w:r>
          </w:p>
        </w:tc>
      </w:tr>
      <w:tr>
        <w:tc>
          <w:tcPr>
            <w:tcW w:type="dxa" w:w="9360"/>
            <w:tcBorders>
              <w:top w:val="single" w:color="1A56DB" w:sz="1"/>
              <w:left w:val="single" w:color="1A56DB" w:sz="1"/>
              <w:bottom w:val="single" w:color="1A56DB" w:sz="1"/>
              <w:right w:val="single" w:color="1A56DB" w:sz="1"/>
            </w:tcBorders>
            <w:shd w:fill="EFF6FF" w:val="clear"/>
            <w:tcMar>
              <w:top w:type="dxa" w:w="80"/>
              <w:left w:type="dxa" w:w="140"/>
              <w:bottom w:type="dxa" w:w="80"/>
              <w:right w:type="dxa" w:w="140"/>
            </w:tcMar>
          </w:tcPr>
          <w:p>
            <w:r>
              <w:rPr>
                <w:rFonts w:ascii="Arial" w:cs="Arial" w:eastAsia="Arial" w:hAnsi="Arial"/>
                <w:color w:val="1F2937"/>
                <w:sz w:val="20"/>
                <w:szCs w:val="20"/>
              </w:rPr>
              <w:t xml:space="preserve">Join the discussion, pick up a good-first-issue, and help make code universally understandable.</w:t>
            </w:r>
          </w:p>
        </w:tc>
      </w:tr>
    </w:tbl>
    <w:p>
      <w:pPr>
        <w:spacing w:before="0" w:after="0"/>
      </w:pPr>
      <w:r>
        <w:t xml:space="preserve"/>
      </w:r>
    </w:p>
    <w:p>
      <w:pPr>
        <w:spacing w:before="0" w:after="0"/>
      </w:pPr>
      <w:r>
        <w:t xml:space="preserve"/>
      </w:r>
    </w:p>
    <w:p>
      <w:pPr>
        <w:jc w:val="center"/>
      </w:pPr>
      <w:r>
        <w:rPr>
          <w:rFonts w:ascii="Arial" w:cs="Arial" w:eastAsia="Arial" w:hAnsi="Arial"/>
          <w:i/>
          <w:iCs/>
          <w:color w:val="6B7280"/>
          <w:sz w:val="20"/>
          <w:szCs w:val="20"/>
        </w:rPr>
        <w:t xml:space="preserve">— End of Document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jc w:val="right"/>
    </w:pPr>
    <w:r>
      <w:rPr>
        <w:rFonts w:ascii="Arial" w:cs="Arial" w:eastAsia="Arial" w:hAnsi="Arial"/>
        <w:color w:val="6B7280"/>
        <w:sz w:val="18"/>
        <w:szCs w:val="18"/>
      </w:rPr>
      <w:t xml:space="preserve">CodeFlowX+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jc w:val="right"/>
    </w:pPr>
    <w:r>
      <w:rPr>
        <w:rFonts w:ascii="Arial" w:cs="Arial" w:eastAsia="Arial" w:hAnsi="Arial"/>
        <w:color w:val="6B7280"/>
        <w:sz w:val="18"/>
        <w:szCs w:val="18"/>
      </w:rPr>
      <w:t xml:space="preserve">CodeFlowX+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2026-03-27T06:07:44.389Z</dcterms:created>
  <dcterms:modified xsi:type="dcterms:W3CDTF">2026-03-27T06:07:44.390Z</dcterms:modified>
</cp:coreProperties>
</file>

<file path=docProps/custom.xml><?xml version="1.0" encoding="utf-8"?>
<Properties xmlns="http://schemas.openxmlformats.org/officeDocument/2006/custom-properties" xmlns:vt="http://schemas.openxmlformats.org/officeDocument/2006/docPropsVTypes"/>
</file>