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365D"/>
          <w:sz w:val="32"/>
        </w:rPr>
        <w:t>K L Deemed to be University</w:t>
        <w:br/>
      </w:r>
      <w:r>
        <w:rPr>
          <w:rFonts w:ascii="Arial" w:hAnsi="Arial"/>
          <w:b/>
          <w:color w:val="2B6CB0"/>
          <w:sz w:val="24"/>
        </w:rPr>
        <w:t>DATA STRUCTURES AND ALGORITHMS - 2</w:t>
        <w:br/>
        <w:t>CO1 to CO3 Alternate Case Study Question Bank with Solution Keys</w:t>
      </w:r>
    </w:p>
    <w:tbl>
      <w:tblPr>
        <w:tblW w:type="auto" w:w="0"/>
        <w:jc w:val="center"/>
        <w:tblLayout w:type="fixed"/>
        <w:tblLook w:firstColumn="1" w:firstRow="1" w:lastColumn="0" w:lastRow="0" w:noHBand="0" w:noVBand="1" w:val="04A0"/>
        <w:tblBorders>
          <w:top w:val="single" w:sz="12" w:space="0" w:color="2B6CB0"/>
          <w:bottom w:val="single" w:sz="12" w:space="0" w:color="2B6CB0"/>
          <w:left w:val="single" w:sz="12" w:space="0" w:color="2B6CB0"/>
          <w:right w:val="single" w:sz="12" w:space="0" w:color="2B6CB0"/>
          <w:insideH w:val="none"/>
          <w:insideV w:val="none"/>
        </w:tblBorders>
      </w:tblPr>
      <w:tblGrid>
        <w:gridCol w:w="2340"/>
        <w:gridCol w:w="2340"/>
        <w:gridCol w:w="2340"/>
        <w:gridCol w:w="2340"/>
      </w:tblGrid>
      <w:tr>
        <w:trPr>
          <w:trHeight w:val="360"/>
        </w:trPr>
        <w:tc>
          <w:tcPr>
            <w:tcW w:type="dxa" w:w="1728"/>
            <w:shd w:fill="EBF8FF"/>
            <w:tcMar>
              <w:top w:w="80" w:type="dxa"/>
              <w:bottom w:w="80" w:type="dxa"/>
              <w:left w:w="120" w:type="dxa"/>
              <w:right w:w="120" w:type="dxa"/>
            </w:tcMar>
          </w:tcPr>
          <w:p>
            <w:pPr>
              <w:spacing w:after="0" w:before="0"/>
            </w:pPr>
            <w:r>
              <w:rPr>
                <w:rFonts w:ascii="Arial" w:hAnsi="Arial"/>
                <w:b/>
                <w:color w:val="1A365D"/>
                <w:sz w:val="19"/>
              </w:rPr>
              <w:t>Name:</w:t>
            </w:r>
          </w:p>
        </w:tc>
        <w:tc>
          <w:tcPr>
            <w:tcW w:type="dxa" w:w="3312"/>
            <w:shd w:fill="EBF8FF"/>
            <w:tcMar>
              <w:top w:w="80" w:type="dxa"/>
              <w:bottom w:w="80" w:type="dxa"/>
              <w:left w:w="120" w:type="dxa"/>
              <w:right w:w="120" w:type="dxa"/>
            </w:tcMar>
          </w:tcPr>
          <w:p>
            <w:pPr>
              <w:spacing w:after="0" w:before="0"/>
            </w:pPr>
            <w:r>
              <w:rPr>
                <w:rFonts w:ascii="Arial" w:hAnsi="Arial"/>
                <w:b w:val="0"/>
                <w:color w:val="1A365D"/>
                <w:sz w:val="19"/>
              </w:rPr>
              <w:t>Abhay Tripathi</w:t>
            </w:r>
          </w:p>
        </w:tc>
        <w:tc>
          <w:tcPr>
            <w:tcW w:type="dxa" w:w="2160"/>
            <w:shd w:fill="EBF8FF"/>
            <w:tcMar>
              <w:top w:w="80" w:type="dxa"/>
              <w:bottom w:w="80" w:type="dxa"/>
              <w:left w:w="120" w:type="dxa"/>
              <w:right w:w="120" w:type="dxa"/>
            </w:tcMar>
          </w:tcPr>
          <w:p>
            <w:pPr>
              <w:spacing w:after="0" w:before="0"/>
            </w:pPr>
            <w:r>
              <w:rPr>
                <w:rFonts w:ascii="Arial" w:hAnsi="Arial"/>
                <w:b/>
                <w:color w:val="1A365D"/>
                <w:sz w:val="19"/>
              </w:rPr>
              <w:t>Course Code:</w:t>
            </w:r>
          </w:p>
        </w:tc>
        <w:tc>
          <w:tcPr>
            <w:tcW w:type="dxa" w:w="2880"/>
            <w:shd w:fill="EBF8FF"/>
            <w:tcMar>
              <w:top w:w="80" w:type="dxa"/>
              <w:bottom w:w="80" w:type="dxa"/>
              <w:left w:w="120" w:type="dxa"/>
              <w:right w:w="120" w:type="dxa"/>
            </w:tcMar>
          </w:tcPr>
          <w:p>
            <w:pPr>
              <w:spacing w:after="0" w:before="0"/>
            </w:pPr>
            <w:r>
              <w:rPr>
                <w:rFonts w:ascii="Arial" w:hAnsi="Arial"/>
                <w:b w:val="0"/>
                <w:color w:val="1A365D"/>
                <w:sz w:val="19"/>
              </w:rPr>
              <w:t>25SC1305E</w:t>
            </w:r>
          </w:p>
        </w:tc>
      </w:tr>
      <w:tr>
        <w:trPr>
          <w:trHeight w:val="360"/>
        </w:trPr>
        <w:tc>
          <w:tcPr>
            <w:tcW w:type="dxa" w:w="1728"/>
            <w:shd w:fill="EBF8FF"/>
            <w:tcMar>
              <w:top w:w="80" w:type="dxa"/>
              <w:bottom w:w="80" w:type="dxa"/>
              <w:left w:w="120" w:type="dxa"/>
              <w:right w:w="120" w:type="dxa"/>
            </w:tcMar>
          </w:tcPr>
          <w:p>
            <w:pPr>
              <w:spacing w:after="0" w:before="0"/>
            </w:pPr>
            <w:r>
              <w:rPr>
                <w:rFonts w:ascii="Arial" w:hAnsi="Arial"/>
                <w:b/>
                <w:color w:val="1A365D"/>
                <w:sz w:val="19"/>
              </w:rPr>
              <w:t>Roll No:</w:t>
            </w:r>
          </w:p>
        </w:tc>
        <w:tc>
          <w:tcPr>
            <w:tcW w:type="dxa" w:w="3312"/>
            <w:shd w:fill="EBF8FF"/>
            <w:tcMar>
              <w:top w:w="80" w:type="dxa"/>
              <w:bottom w:w="80" w:type="dxa"/>
              <w:left w:w="120" w:type="dxa"/>
              <w:right w:w="120" w:type="dxa"/>
            </w:tcMar>
          </w:tcPr>
          <w:p>
            <w:pPr>
              <w:spacing w:after="0" w:before="0"/>
            </w:pPr>
            <w:r>
              <w:rPr>
                <w:rFonts w:ascii="Arial" w:hAnsi="Arial"/>
                <w:b w:val="0"/>
                <w:color w:val="1A365D"/>
                <w:sz w:val="19"/>
              </w:rPr>
              <w:t>2520030353</w:t>
            </w:r>
          </w:p>
        </w:tc>
        <w:tc>
          <w:tcPr>
            <w:tcW w:type="dxa" w:w="2160"/>
            <w:shd w:fill="EBF8FF"/>
            <w:tcMar>
              <w:top w:w="80" w:type="dxa"/>
              <w:bottom w:w="80" w:type="dxa"/>
              <w:left w:w="120" w:type="dxa"/>
              <w:right w:w="120" w:type="dxa"/>
            </w:tcMar>
          </w:tcPr>
          <w:p>
            <w:pPr>
              <w:spacing w:after="0" w:before="0"/>
            </w:pPr>
            <w:r>
              <w:rPr>
                <w:rFonts w:ascii="Arial" w:hAnsi="Arial"/>
                <w:b/>
                <w:color w:val="1A365D"/>
                <w:sz w:val="19"/>
              </w:rPr>
              <w:t>Assessment Mode:</w:t>
            </w:r>
          </w:p>
        </w:tc>
        <w:tc>
          <w:tcPr>
            <w:tcW w:type="dxa" w:w="2880"/>
            <w:shd w:fill="EBF8FF"/>
            <w:tcMar>
              <w:top w:w="80" w:type="dxa"/>
              <w:bottom w:w="80" w:type="dxa"/>
              <w:left w:w="120" w:type="dxa"/>
              <w:right w:w="120" w:type="dxa"/>
            </w:tcMar>
          </w:tcPr>
          <w:p>
            <w:pPr>
              <w:spacing w:after="0" w:before="0"/>
            </w:pPr>
            <w:r>
              <w:rPr>
                <w:rFonts w:ascii="Arial" w:hAnsi="Arial"/>
                <w:b w:val="0"/>
                <w:color w:val="1A365D"/>
                <w:sz w:val="19"/>
              </w:rPr>
              <w:t>Project-Based Learning</w:t>
            </w:r>
          </w:p>
        </w:tc>
      </w:tr>
      <w:tr>
        <w:trPr>
          <w:trHeight w:val="360"/>
        </w:trPr>
        <w:tc>
          <w:tcPr>
            <w:tcW w:type="dxa" w:w="1728"/>
            <w:shd w:fill="EBF8FF"/>
            <w:tcMar>
              <w:top w:w="80" w:type="dxa"/>
              <w:bottom w:w="80" w:type="dxa"/>
              <w:left w:w="120" w:type="dxa"/>
              <w:right w:w="120" w:type="dxa"/>
            </w:tcMar>
          </w:tcPr>
          <w:p>
            <w:pPr>
              <w:spacing w:after="0" w:before="0"/>
            </w:pPr>
            <w:r>
              <w:rPr>
                <w:rFonts w:ascii="Arial" w:hAnsi="Arial"/>
                <w:b/>
                <w:color w:val="1A365D"/>
                <w:sz w:val="19"/>
              </w:rPr>
              <w:t>Academic Year:</w:t>
            </w:r>
          </w:p>
        </w:tc>
        <w:tc>
          <w:tcPr>
            <w:tcW w:type="dxa" w:w="3312"/>
            <w:shd w:fill="EBF8FF"/>
            <w:tcMar>
              <w:top w:w="80" w:type="dxa"/>
              <w:bottom w:w="80" w:type="dxa"/>
              <w:left w:w="120" w:type="dxa"/>
              <w:right w:w="120" w:type="dxa"/>
            </w:tcMar>
          </w:tcPr>
          <w:p>
            <w:pPr>
              <w:spacing w:after="0" w:before="0"/>
            </w:pPr>
            <w:r>
              <w:rPr>
                <w:rFonts w:ascii="Arial" w:hAnsi="Arial"/>
                <w:b w:val="0"/>
                <w:color w:val="1A365D"/>
                <w:sz w:val="19"/>
              </w:rPr>
              <w:t>2025-2026 (Term 3)</w:t>
            </w:r>
          </w:p>
        </w:tc>
        <w:tc>
          <w:tcPr>
            <w:tcW w:type="dxa" w:w="2160"/>
            <w:shd w:fill="EBF8FF"/>
            <w:tcMar>
              <w:top w:w="80" w:type="dxa"/>
              <w:bottom w:w="80" w:type="dxa"/>
              <w:left w:w="120" w:type="dxa"/>
              <w:right w:w="120" w:type="dxa"/>
            </w:tcMar>
          </w:tcPr>
          <w:p>
            <w:pPr>
              <w:spacing w:after="0" w:before="0"/>
            </w:pPr>
            <w:r>
              <w:rPr>
                <w:rFonts w:ascii="Arial" w:hAnsi="Arial"/>
                <w:b/>
                <w:color w:val="1A365D"/>
                <w:sz w:val="19"/>
              </w:rPr>
              <w:t>Marks Pattern:</w:t>
            </w:r>
          </w:p>
        </w:tc>
        <w:tc>
          <w:tcPr>
            <w:tcW w:type="dxa" w:w="2880"/>
            <w:shd w:fill="EBF8FF"/>
            <w:tcMar>
              <w:top w:w="80" w:type="dxa"/>
              <w:bottom w:w="80" w:type="dxa"/>
              <w:left w:w="120" w:type="dxa"/>
              <w:right w:w="120" w:type="dxa"/>
            </w:tcMar>
          </w:tcPr>
          <w:p>
            <w:pPr>
              <w:spacing w:after="0" w:before="0"/>
            </w:pPr>
            <w:r>
              <w:rPr>
                <w:rFonts w:ascii="Arial" w:hAnsi="Arial"/>
                <w:b w:val="0"/>
                <w:color w:val="1A365D"/>
                <w:sz w:val="19"/>
              </w:rPr>
              <w:t>5 + 7 + 3 = 15 Marks each</w:t>
            </w:r>
          </w:p>
        </w:tc>
      </w:tr>
    </w:tbl>
    <w:p>
      <w:pPr>
        <w:spacing w:before="280" w:after="200" w:line="276" w:lineRule="auto"/>
      </w:pPr>
      <w:r>
        <w:t>This document establishes a secondary suite of high-fidelity, real-world case studies mapping identically to Course Outcomes 1, 2, and 3 for academic practice and evaluation. Each case study comprises a situational operational scenario, formal algorithmic sub-questions, and a comprehensive, rigorous engineering solution key.</w:t>
      </w:r>
    </w:p>
    <w:p>
      <w:pPr>
        <w:pStyle w:val="Heading1"/>
        <w:keepNext/>
        <w:spacing w:before="360" w:after="120"/>
        <w:pBdr>
          <w:bottom w:val="single" w:sz="12" w:space="4" w:color="2B6CB0"/>
        </w:pBdr>
      </w:pPr>
      <w:r>
        <w:rPr>
          <w:rFonts w:ascii="Arial" w:hAnsi="Arial"/>
          <w:b/>
          <w:color w:val="1A365D"/>
          <w:sz w:val="28"/>
        </w:rPr>
        <w:t>CASE STUDY 1 — CO1: Binary Search Trees &amp; AVL Tree Indexing</w:t>
      </w:r>
    </w:p>
    <w:tbl>
      <w:tblPr>
        <w:tblW w:type="auto" w:w="0"/>
        <w:jc w:val="center"/>
        <w:tblLook w:firstColumn="1" w:firstRow="1" w:lastColumn="0" w:lastRow="0" w:noHBand="0" w:noVBand="1" w:val="04A0"/>
        <w:tblBorders>
          <w:top w:val="single" w:sz="4" w:space="0" w:color="CBD5E0"/>
          <w:bottom w:val="single" w:sz="4" w:space="0" w:color="CBD5E0"/>
          <w:left w:val="single" w:sz="36" w:space="0" w:color="2B6CB0"/>
          <w:right w:val="single" w:sz="4" w:space="0" w:color="CBD5E0"/>
        </w:tblBorders>
      </w:tblPr>
      <w:tblGrid>
        <w:gridCol w:w="9360"/>
      </w:tblGrid>
      <w:tr>
        <w:tc>
          <w:tcPr>
            <w:tcW w:type="dxa" w:w="10080"/>
            <w:shd w:fill="F7FAFC"/>
            <w:tcMar>
              <w:top w:w="140" w:type="dxa"/>
              <w:bottom w:w="140" w:type="dxa"/>
              <w:left w:w="180" w:type="dxa"/>
              <w:right w:w="180" w:type="dxa"/>
            </w:tcMar>
          </w:tcPr>
          <w:p>
            <w:pPr>
              <w:spacing w:after="80"/>
            </w:pPr>
            <w:r>
              <w:rPr>
                <w:rFonts w:ascii="Arial" w:hAnsi="Arial"/>
                <w:b/>
                <w:color w:val="2C5282"/>
                <w:sz w:val="20"/>
              </w:rPr>
              <w:t>SCENARIO CONTEXT: PULSENET HEALTHCARE SYSTEMS</w:t>
            </w:r>
          </w:p>
          <w:p>
            <w:pPr>
              <w:spacing w:after="0" w:line="276" w:lineRule="auto"/>
            </w:pPr>
            <w:r>
              <w:t>The emergency response telemetry dashboard at PulseNet indexes incoming continuous biometric data streams using a unique 8-digit Device-Session ID. Because device initialization scripts execute sequentially at system boot time based on a factory-hardcoded base value, today’s incoming sessions register in strict ascending order during the morning peak hours. The first 13 Device-Session IDs arrive at the primary routing node in this exact sequence: 25, 35, 45, 50, 55, 60, 65, 70, 75, 80, 85, 90, 95.</w:t>
              <w:br/>
              <w:br/>
              <w:t>The telemetry routing cluster must guarantee an ultra-low latency look-up threshold to prevent real-time data packets from being silently dropped, requiring a point-lookup service level agreement (SLA) latency of p99 &lt; 4 μs. The server hardware incurs a flat penalty of 250 ns per pointer dereference (node hop). Any tree structure extending deep enough to breach this budget directly violates the SLA. By midafternoon, three session termination signals are processed in the following strict chronological order: 35 (device disconnect), 70 (session timed out), and 60 (graceful shutdown).</w:t>
            </w:r>
          </w:p>
        </w:tc>
      </w:tr>
    </w:tbl>
    <w:p>
      <w:pPr>
        <w:pStyle w:val="Heading2"/>
        <w:keepNext/>
        <w:spacing w:before="360" w:after="120"/>
      </w:pPr>
      <w:r>
        <w:rPr>
          <w:rFonts w:ascii="Arial" w:hAnsi="Arial"/>
          <w:b/>
          <w:color w:val="2B6CB0"/>
          <w:sz w:val="24"/>
        </w:rPr>
        <w:t>Sub-Questions</w:t>
      </w:r>
    </w:p>
    <w:p>
      <w:pPr>
        <w:spacing w:after="120"/>
        <w:ind w:left="288"/>
      </w:pPr>
      <w:r>
        <w:rPr>
          <w:rFonts w:ascii="Times New Roman" w:hAnsi="Times New Roman"/>
        </w:rPr>
        <w:t xml:space="preserve">(a) Construct the plain Binary Search Tree (BST) resulting from inserting the initial 13 Device-Session IDs in their exact arrival sequence. State its height (measured in edges). Show an explicit numeric calculation evaluating whether a worst-case point-lookup on this plain BST satisfies or violates the SLA budget. Briefly explain the core structural flaw that makes this specific pattern of sequential data adversarial for a standard BST. </w:t>
      </w:r>
      <w:r>
        <w:rPr>
          <w:b/>
        </w:rPr>
        <w:t>[5 Marks]</w:t>
      </w:r>
    </w:p>
    <w:p>
      <w:pPr>
        <w:spacing w:after="120"/>
        <w:ind w:left="288"/>
      </w:pPr>
      <w:r>
        <w:rPr>
          <w:rFonts w:ascii="Times New Roman" w:hAnsi="Times New Roman"/>
        </w:rPr>
        <w:t xml:space="preserve">(b) Build an AVL tree using the same initial sequence of 13 insertions. For every insertion that triggers a rebalancing action, state the structural pivot node, name the exact type of rotation applied (LL / RR / LR / RL), and detail the balance factors (BF) of the two key nodes involved in the rotation immediately after it settles. Provide a clear text visualization of the final AVL tree. Complete a production-grade Java code implementation for the tree insertion and self-balancing mechanics. </w:t>
      </w:r>
      <w:r>
        <w:rPr>
          <w:b/>
        </w:rPr>
        <w:t>[7 Marks]</w:t>
      </w:r>
    </w:p>
    <w:p>
      <w:pPr>
        <w:spacing w:after="240"/>
        <w:ind w:left="288"/>
      </w:pPr>
      <w:r>
        <w:rPr>
          <w:rFonts w:ascii="Times New Roman" w:hAnsi="Times New Roman"/>
        </w:rPr>
        <w:t xml:space="preserve">(c) Apply the three noon deletions (35, then 70, then 60) in sequence to your completed AVL tree from part (b). Detail the structural execution path and state any rotations triggered along the deletion paths. Calculate the worst-case lookup path time on both this post-deletion AVL tree and its post-deletion plain-BST counterpart, quoting both as a percentage of the 4 μs SLA budget. Identify which deletion caused the most significant structural rebalancing impact and justify why. </w:t>
      </w:r>
      <w:r>
        <w:rPr>
          <w:b/>
        </w:rPr>
        <w:t>[3 Marks]</w:t>
      </w:r>
    </w:p>
    <w:p>
      <w:pPr>
        <w:pStyle w:val="Heading2"/>
        <w:keepNext/>
        <w:spacing w:before="360" w:after="120"/>
      </w:pPr>
      <w:r>
        <w:rPr>
          <w:rFonts w:ascii="Arial" w:hAnsi="Arial"/>
          <w:b/>
          <w:color w:val="2B6CB0"/>
          <w:sz w:val="24"/>
        </w:rPr>
        <w:t>Solution Key — Case Study 1</w:t>
      </w:r>
    </w:p>
    <w:p>
      <w:pPr>
        <w:spacing w:before="80" w:after="120" w:line="276" w:lineRule="auto"/>
        <w:ind w:left="216"/>
      </w:pPr>
      <w:r>
        <w:rPr>
          <w:rFonts w:ascii="Arial" w:hAnsi="Arial"/>
          <w:b/>
          <w:color w:val="1A365D"/>
          <w:sz w:val="20"/>
        </w:rPr>
        <w:t xml:space="preserve">Answer (a) — Plain BST Analysis: </w:t>
      </w:r>
      <w:r>
        <w:rPr>
          <w:rFonts w:ascii="Times New Roman" w:hAnsi="Times New Roman"/>
          <w:sz w:val="21"/>
        </w:rPr>
        <w:t>Because the keys are inserted in sorted order (25 &lt; 35 &lt; 45 &lt; ... &lt; 95), every single node is inserted exclusively as the right child of its predecessor. The resulting tree completely degenerates into a linear single-link chain of 13 nodes, leaning entirely to the right.</w:t>
        <w:br/>
        <w:t>Height: 12 edges (stretching from root 25 down to leaf 95).</w:t>
        <w:br/>
        <w:t>SLA Calculation: A worst-case point-lookup must traverse all 13 nodes from root to leaf, executing exactly 12 pointer hops.</w:t>
        <w:br/>
        <w:t>Latency = 12 hops * 250 ns/hop = 3,000 ns = 3.0 μs.</w:t>
        <w:br/>
        <w:t>Since 3.0 μs &lt; 4.0 μs, the current lookup lookup path technically meets the SLA. However, the architecture scales at O(n). Once patient/device registrations scale linearly into thousands of devices, tree depth will massively breach the 16-hop absolute structural threshold (4,000 ns / 250 ns = 16), causing catastrophic SLA violations.</w:t>
        <w:br/>
        <w:t>Adversarial Cause: Monotonic input sequences prevent the tree from branching. Instead of bisecting the search space at each level, each node cascades down to the maximum current depth, converting lookup costs into a linked list equivalent.</w:t>
      </w:r>
    </w:p>
    <w:p>
      <w:pPr>
        <w:spacing w:before="80" w:after="120" w:line="276" w:lineRule="auto"/>
        <w:ind w:left="216"/>
      </w:pPr>
      <w:r>
        <w:rPr>
          <w:rFonts w:ascii="Arial" w:hAnsi="Arial"/>
          <w:b/>
          <w:color w:val="1A365D"/>
          <w:sz w:val="20"/>
        </w:rPr>
        <w:t xml:space="preserve">Answer (b) — AVL Tree Trace: </w:t>
      </w:r>
      <w:r>
        <w:rPr>
          <w:rFonts w:ascii="Times New Roman" w:hAnsi="Times New Roman"/>
          <w:sz w:val="21"/>
        </w:rPr>
        <w:t>Insertion Sequence Step-by-Step Rotations:</w:t>
        <w:br/>
        <w:t>1. Insert 25, 35, 45 -&gt; Local pivot node 25 triggers an RR Rotation. Node 35 becomes the local root with children (25, 45). Post-rotation balance factors: BF(35)=0, BF(25)=0, BF(45)=0.</w:t>
        <w:br/>
        <w:t>2. Insert 50, 55 -&gt; Node 45 triggers an RR Rotation. Node 50 becomes local root with children (45, 55).</w:t>
        <w:br/>
        <w:t>3. Insert 60 -&gt; Imbalance cascades up to the main root 35 (BF = -2), right child 50 has BF = -2. Triggers an RR Rotation at 35. Node 50 becomes the absolute root of the entire tree.</w:t>
        <w:br/>
        <w:t>4. Insert 65 -&gt; Triggers RR Rotation at 55. Local subtree root becomes 60.</w:t>
        <w:br/>
        <w:t>5. Insert 70, 75 -&gt; Triggers RR Rotation at 60. Local subtree root becomes 65.</w:t>
        <w:br/>
        <w:t>6. Insert 80, 85 -&gt; Triggers RR Rotation at 70. Local subtree root becomes 75.</w:t>
        <w:br/>
        <w:t>7. Insert 90, 95 -&gt; Triggers RR Rotation at 80. Local subtree root becomes 85.</w:t>
      </w:r>
    </w:p>
    <w:p>
      <w:pPr>
        <w:ind w:left="216"/>
      </w:pPr>
      <w:r>
        <w:rPr>
          <w:rFonts w:ascii="Arial" w:hAnsi="Arial"/>
          <w:b/>
          <w:sz w:val="20"/>
        </w:rPr>
        <w:t>Final AVL Tree Structural Topology Visual Layout:</w:t>
      </w:r>
    </w:p>
    <w:tbl>
      <w:tblPr>
        <w:tblW w:type="auto" w:w="0"/>
        <w:jc w:val="center"/>
        <w:tblLook w:firstColumn="1" w:firstRow="1" w:lastColumn="0" w:lastRow="0" w:noHBand="0" w:noVBand="1" w:val="04A0"/>
      </w:tblPr>
      <w:tblGrid>
        <w:gridCol w:w="9360"/>
      </w:tblGrid>
      <w:tr>
        <w:tc>
          <w:tcPr>
            <w:tcW w:type="dxa" w:w="9792"/>
            <w:shd w:fill="1A202C"/>
            <w:tcMar>
              <w:top w:w="100" w:type="dxa"/>
              <w:bottom w:w="100" w:type="dxa"/>
              <w:left w:w="150" w:type="dxa"/>
              <w:right w:w="150" w:type="dxa"/>
            </w:tcMar>
          </w:tcPr>
          <w:p>
            <w:pPr>
              <w:spacing w:before="0" w:after="0"/>
            </w:pPr>
            <w:r>
              <w:rPr>
                <w:rFonts w:ascii="Consolas" w:hAnsi="Consolas"/>
                <w:color w:val="AEACA8"/>
                <w:sz w:val="18"/>
              </w:rPr>
              <w:t xml:space="preserve">         50</w:t>
              <w:br/>
              <w:t xml:space="preserve">       /    \</w:t>
              <w:br/>
              <w:t xml:space="preserve">     35      75</w:t>
              <w:br/>
              <w:t xml:space="preserve">    /  \    /  \</w:t>
              <w:br/>
              <w:t xml:space="preserve">   25  45  60   85</w:t>
              <w:br/>
              <w:t xml:space="preserve">          /  \ /  \</w:t>
              <w:br/>
              <w:t xml:space="preserve">         55  65 80 90</w:t>
              <w:br/>
              <w:t xml:space="preserve">                     \</w:t>
              <w:br/>
              <w:t xml:space="preserve">                     95</w:t>
            </w:r>
          </w:p>
        </w:tc>
      </w:tr>
    </w:tbl>
    <w:p>
      <w:pPr>
        <w:spacing w:before="160"/>
        <w:ind w:left="216"/>
      </w:pPr>
      <w:r>
        <w:rPr>
          <w:rFonts w:ascii="Arial" w:hAnsi="Arial"/>
          <w:b/>
          <w:sz w:val="20"/>
        </w:rPr>
        <w:t>Production Java Implementation Source Listing:</w:t>
      </w:r>
    </w:p>
    <w:tbl>
      <w:tblPr>
        <w:tblW w:type="auto" w:w="0"/>
        <w:jc w:val="center"/>
        <w:tblLook w:firstColumn="1" w:firstRow="1" w:lastColumn="0" w:lastRow="0" w:noHBand="0" w:noVBand="1" w:val="04A0"/>
      </w:tblPr>
      <w:tblGrid>
        <w:gridCol w:w="9360"/>
      </w:tblGrid>
      <w:tr>
        <w:tc>
          <w:tcPr>
            <w:tcW w:type="dxa" w:w="9792"/>
            <w:shd w:fill="1A202C"/>
            <w:tcMar>
              <w:top w:w="100" w:type="dxa"/>
              <w:bottom w:w="100" w:type="dxa"/>
              <w:left w:w="150" w:type="dxa"/>
              <w:right w:w="150" w:type="dxa"/>
            </w:tcMar>
          </w:tcPr>
          <w:p>
            <w:pPr>
              <w:spacing w:before="0" w:after="0"/>
            </w:pPr>
            <w:r>
              <w:rPr>
                <w:rFonts w:ascii="Consolas" w:hAnsi="Consolas"/>
                <w:color w:val="AEACA8"/>
                <w:sz w:val="18"/>
              </w:rPr>
              <w:t>class AVLNode {</w:t>
              <w:br/>
              <w:t xml:space="preserve">    int key, height = 1;</w:t>
              <w:br/>
              <w:t xml:space="preserve">    AVLNode left, right;</w:t>
              <w:br/>
              <w:t xml:space="preserve">    AVLNode(int key) { this.key = key; }</w:t>
              <w:br/>
              <w:t>}</w:t>
              <w:br/>
              <w:br/>
              <w:t>public class TelemetryAVL {</w:t>
              <w:br/>
              <w:t xml:space="preserve">    static int height(AVLNode n) { return n == null ? 0 : n.height; }</w:t>
              <w:br/>
              <w:t xml:space="preserve">    static int getBalance(AVLNode n) { return n == null ? 0 : height(n.left) - height(n.right); }</w:t>
              <w:br/>
              <w:t xml:space="preserve">    static void updateHeight(AVLNode n) { if (n != null) n.height = 1 + Math.max(height(n.left), height(n.right)); }</w:t>
              <w:br/>
              <w:br/>
              <w:t xml:space="preserve">    static AVLNode rotateRight(AVLNode y) {</w:t>
              <w:br/>
              <w:t xml:space="preserve">        AVLNode x = y.left; AVLNode T2 = x.right;</w:t>
              <w:br/>
              <w:t xml:space="preserve">        x.right = y; y.left = T2;</w:t>
              <w:br/>
              <w:t xml:space="preserve">        updateHeight(y); updateHeight(x);</w:t>
              <w:br/>
              <w:t xml:space="preserve">        return x;</w:t>
              <w:br/>
              <w:t xml:space="preserve">    }</w:t>
              <w:br/>
              <w:br/>
              <w:t xml:space="preserve">    static AVLNode rotateLeft(AVLNode x) {</w:t>
              <w:br/>
              <w:t xml:space="preserve">        AVLNode y = x.right; AVLNode T2 = y.left;</w:t>
              <w:br/>
              <w:t xml:space="preserve">        y.left = x; x.right = T2;</w:t>
              <w:br/>
              <w:t xml:space="preserve">        updateHeight(x); updateHeight(y);</w:t>
              <w:br/>
              <w:t xml:space="preserve">        return y;</w:t>
              <w:br/>
              <w:t xml:space="preserve">    }</w:t>
              <w:br/>
              <w:br/>
              <w:t xml:space="preserve">    static AVLNode insert(AVLNode node, int key) {</w:t>
              <w:br/>
              <w:t xml:space="preserve">        if (node == null) return new AVLNode(key);</w:t>
              <w:br/>
              <w:t xml:space="preserve">        if (key &lt; node.key) node.left = insert(node.left, key);</w:t>
              <w:br/>
              <w:t xml:space="preserve">        else if (key &gt; node.key) node.right = insert(node.right, key);</w:t>
              <w:br/>
              <w:t xml:space="preserve">        else return node;</w:t>
              <w:br/>
              <w:br/>
              <w:t xml:space="preserve">        updateHeight(node); int bf = getBalance(node);</w:t>
              <w:br/>
              <w:t xml:space="preserve">        if (bf &gt; 1 &amp;&amp; key &lt; node.left.key) return rotateRight(node);</w:t>
              <w:br/>
              <w:t xml:space="preserve">        if (bf &lt; -1 &amp;&amp; key &gt; node.right.key) return rotateLeft(node);</w:t>
              <w:br/>
              <w:t xml:space="preserve">        if (bf &gt; 1 &amp;&amp; key &gt; node.left.key) { node.left = rotateLeft(node.left); return rotateRight(node); }</w:t>
              <w:br/>
              <w:t xml:space="preserve">        if (bf &lt; -1 &amp;&amp; key &lt; node.right.key) { node.right = rotateRight(node.right); return rotateLeft(node); }</w:t>
              <w:br/>
              <w:t xml:space="preserve">        return node;</w:t>
              <w:br/>
              <w:t xml:space="preserve">    }</w:t>
              <w:br/>
              <w:t>}</w:t>
            </w:r>
          </w:p>
        </w:tc>
      </w:tr>
    </w:tbl>
    <w:p>
      <w:pPr>
        <w:spacing w:before="80" w:after="120" w:line="276" w:lineRule="auto"/>
        <w:ind w:left="216"/>
      </w:pPr>
      <w:r>
        <w:rPr>
          <w:rFonts w:ascii="Arial" w:hAnsi="Arial"/>
          <w:b/>
          <w:color w:val="1A365D"/>
          <w:sz w:val="20"/>
        </w:rPr>
        <w:t xml:space="preserve">Answer (a) — Deletion Architectural Impact Analysis: </w:t>
      </w:r>
      <w:r>
        <w:rPr>
          <w:rFonts w:ascii="Times New Roman" w:hAnsi="Times New Roman"/>
          <w:sz w:val="21"/>
        </w:rPr>
        <w:t>1. Delete 35: Node 35 is an internal node with two children. Replaced by its in-order successor (45). The leaf node 45 is pruned. Updates propagate upwards with zero rotations.</w:t>
        <w:br/>
        <w:t>2. Delete 70: Node 70 is a leaf element. It is unlinked from parent (65) directly. Height balances hold valid indices without operational shifts.</w:t>
        <w:br/>
        <w:t>3. Delete 60: Removing node 60 triggers severe structural weight shift in the right subtree. The successor (65) climbs up, forcing an RL structural rebalancing cascade to re-level branches.</w:t>
        <w:br/>
        <w:t>SLA Latency Performance Comparison Metrics:</w:t>
        <w:br/>
        <w:t>- Post-Delete AVL Tree: Height = 3. Worst-case lookup path = 3 hops * 250 ns = 750 ns. Percentage of SLA Budget consumed: (750 ns / 4000 ns) * 100% = 18.75%.</w:t>
        <w:br/>
        <w:t>- Post-Delete Plain BST: Tree remains completely linear chain minus deleted nodes. Height = 9. Worst lookup = 9 hops * 250 ns = 2250 ns. Percentage of SLA Budget consumed: (2250 ns / 4000 ns) * 100% = 56.25%.</w:t>
        <w:br/>
        <w:t>Largest Structural Change: Node 60 deletion caused the most profound structural impact. As a core node in the right sub-branch scheme, its extraction forces recursive height evaluations and path structural variations to sustain balance constraints.</w:t>
      </w:r>
    </w:p>
    <w:p>
      <w:pPr>
        <w:pStyle w:val="Heading1"/>
        <w:keepNext/>
        <w:spacing w:before="360" w:after="120"/>
        <w:pBdr>
          <w:bottom w:val="single" w:sz="12" w:space="4" w:color="2B6CB0"/>
        </w:pBdr>
      </w:pPr>
      <w:r>
        <w:rPr>
          <w:rFonts w:ascii="Arial" w:hAnsi="Arial"/>
          <w:b/>
          <w:color w:val="1A365D"/>
          <w:sz w:val="28"/>
        </w:rPr>
        <w:t>CASE STUDY 2 — CO2: Segment Tree &amp; Fenwick Tree Range Queries</w:t>
      </w:r>
    </w:p>
    <w:tbl>
      <w:tblPr>
        <w:tblW w:type="auto" w:w="0"/>
        <w:jc w:val="center"/>
        <w:tblLook w:firstColumn="1" w:firstRow="1" w:lastColumn="0" w:lastRow="0" w:noHBand="0" w:noVBand="1" w:val="04A0"/>
        <w:tblBorders>
          <w:top w:val="single" w:sz="4" w:space="0" w:color="CBD5E0"/>
          <w:bottom w:val="single" w:sz="4" w:space="0" w:color="CBD5E0"/>
          <w:left w:val="single" w:sz="36" w:space="0" w:color="2B6CB0"/>
          <w:right w:val="single" w:sz="4" w:space="0" w:color="CBD5E0"/>
        </w:tblBorders>
      </w:tblPr>
      <w:tblGrid>
        <w:gridCol w:w="9360"/>
      </w:tblGrid>
      <w:tr>
        <w:tc>
          <w:tcPr>
            <w:tcW w:type="dxa" w:w="10080"/>
            <w:shd w:fill="F7FAFC"/>
            <w:tcMar>
              <w:top w:w="140" w:type="dxa"/>
              <w:bottom w:w="140" w:type="dxa"/>
              <w:left w:w="180" w:type="dxa"/>
              <w:right w:w="180" w:type="dxa"/>
            </w:tcMar>
          </w:tcPr>
          <w:p>
            <w:pPr>
              <w:spacing w:after="80"/>
            </w:pPr>
            <w:r>
              <w:rPr>
                <w:rFonts w:ascii="Arial" w:hAnsi="Arial"/>
                <w:b/>
                <w:color w:val="2C5282"/>
                <w:sz w:val="20"/>
              </w:rPr>
              <w:t>SCENARIO CONTEXT: ZOMATO HYPER-LOCAL DELIVERY NETWORK</w:t>
            </w:r>
          </w:p>
          <w:p>
            <w:pPr>
              <w:spacing w:after="0" w:line="276" w:lineRule="auto"/>
            </w:pPr>
            <w:r>
              <w:t>The distributed cloud database backing Zomato's high-throughput active dishes catalog indexes over 10^7 active food records using a structured composite key: (geo_hash_zone, dish_base_price). The underlying storage layer relies on a production-grade B+ Tree index persisted on high-performance Enterprise NVMe SSD storage appliances.</w:t>
              <w:br/>
              <w:br/>
              <w:t>Each leaf block accommodates a maximum of 100 comprehensive product data tuples packed tightly inside a structural 4 KB database page (the native block allocation boundary of the flash array filesystem). A high-volume Diwali traffic analysis indicates that 92% of incoming database engine requests are targeted spatial range scans: "Fetch all active menu items within zone = Y spanning price segment [lo, hi]". Only 8% correspond to point lookups for explicit single product lines. Of the core range inquiries, 85% query a predictable price spread returning an average volume of 1,200 matching dish records per query execution. Platform engineers are actively debating whether to implement an inline secondary Hash Index to optimize short-range query performance benchmarks.</w:t>
            </w:r>
          </w:p>
        </w:tc>
      </w:tr>
    </w:tbl>
    <w:p>
      <w:pPr>
        <w:pStyle w:val="Heading2"/>
        <w:keepNext/>
        <w:spacing w:before="360" w:after="120"/>
      </w:pPr>
      <w:r>
        <w:rPr>
          <w:rFonts w:ascii="Arial" w:hAnsi="Arial"/>
          <w:b/>
          <w:color w:val="2B6CB0"/>
          <w:sz w:val="24"/>
        </w:rPr>
        <w:t>Sub-Questions</w:t>
      </w:r>
    </w:p>
    <w:p>
      <w:pPr>
        <w:spacing w:after="120"/>
        <w:ind w:left="288"/>
      </w:pPr>
      <w:r>
        <w:rPr>
          <w:rFonts w:ascii="Times New Roman" w:hAnsi="Times New Roman"/>
        </w:rPr>
        <w:t xml:space="preserve">(a) Using the metrics specified in the case pattern (10^7 total items, 100 structural entries per leaf block, 4 KB block page size), compute the formal height of the B+ Tree index assuming an internal node fanout coefficient equal to 100. Explicitly show the underlying step-by-step math split across: Descent Read Cost + Leaf-Chain Sequential Scan Walk Cost. Identify which sector dominates the end-to-end hardware profile and explain the structural reason why. </w:t>
      </w:r>
      <w:r>
        <w:rPr>
          <w:b/>
        </w:rPr>
        <w:t>[5 Marks]</w:t>
      </w:r>
    </w:p>
    <w:p>
      <w:pPr>
        <w:spacing w:after="120"/>
        <w:ind w:left="288"/>
      </w:pPr>
      <w:r>
        <w:rPr>
          <w:rFonts w:ascii="Times New Roman" w:hAnsi="Times New Roman"/>
        </w:rPr>
        <w:t xml:space="preserve">(b) Review the faulty baseline implementation written by a junior developer for a range count utility. Identify and clearly explain two profound runtime efficiency bugs hiding within this method. Quantify the direct performance and I/O impact of these combined flaws relative to a healthy query on a system containing 10^7 items. Write a corrected, fully production-ready variant of this method matching the index definitions. </w:t>
      </w:r>
      <w:r>
        <w:rPr>
          <w:b/>
        </w:rPr>
        <w:t>[6 Marks]</w:t>
      </w:r>
    </w:p>
    <w:p>
      <w:pPr>
        <w:spacing w:after="240"/>
        <w:ind w:left="288"/>
      </w:pPr>
      <w:r>
        <w:rPr>
          <w:rFonts w:ascii="Times New Roman" w:hAnsi="Times New Roman"/>
        </w:rPr>
        <w:t xml:space="preserve">(c) Evaluate the team's proposal of deploying a secondary hash index on the composite keys to accelerate short-range queries returning fewer than 50 products. Using the trace data, argue quantitatively whether the hash index is a net win, a net loss, or highly workload-dependent. Calculate the exact break-even point (expressed as a maximum number of target items) where a multi-lookup hash strategy matches or outperforms the sequential leaf-chain traversal of the B+ Tree index. </w:t>
      </w:r>
      <w:r>
        <w:rPr>
          <w:b/>
        </w:rPr>
        <w:t>[3 Marks]</w:t>
      </w:r>
    </w:p>
    <w:p>
      <w:pPr>
        <w:pStyle w:val="Heading2"/>
        <w:keepNext/>
        <w:spacing w:before="360" w:after="120"/>
      </w:pPr>
      <w:r>
        <w:rPr>
          <w:rFonts w:ascii="Arial" w:hAnsi="Arial"/>
          <w:b/>
          <w:color w:val="2B6CB0"/>
          <w:sz w:val="24"/>
        </w:rPr>
        <w:t>Solution Key — Case Study 2</w:t>
      </w:r>
    </w:p>
    <w:p>
      <w:pPr>
        <w:spacing w:before="80" w:after="120" w:line="276" w:lineRule="auto"/>
        <w:ind w:left="216"/>
      </w:pPr>
      <w:r>
        <w:rPr>
          <w:rFonts w:ascii="Arial" w:hAnsi="Arial"/>
          <w:b/>
          <w:color w:val="1A365D"/>
          <w:sz w:val="20"/>
        </w:rPr>
        <w:t xml:space="preserve">Answer (a) — Index layer structural configuration mapping: </w:t>
      </w:r>
      <w:r>
        <w:rPr>
          <w:rFonts w:ascii="Times New Roman" w:hAnsi="Times New Roman"/>
          <w:sz w:val="21"/>
        </w:rPr>
        <w:t>Total Leaf Nodes = 10^7 entries / 100 entries/leaf = 100,000 leaf pages.</w:t>
        <w:br/>
        <w:t>Height of Tree Index Layers (t): Given internal fanout of 100:</w:t>
        <w:br/>
        <w:t>Height = ceil( log100(100,000) ) = ceil( 2.5 ) = 3 index levels.</w:t>
        <w:br/>
        <w:t>Range Query Disk I/O Costs:</w:t>
        <w:br/>
        <w:t>- Descent Path Cost: 3 index page reads to locate the base lower bound leaf block.</w:t>
        <w:br/>
        <w:t>- Leaf Chain Walk Cost: To parse 1,200 records at 100 rows/page = 12 sequential leaf page lookups.</w:t>
        <w:br/>
        <w:t>Total I/O Cost metrics = 3 (Descent) + 12 (Walk) = 15 page reads.</w:t>
        <w:br/>
        <w:t>Dominant Cost Factor: The Leaf-Chain Walk completely dominates the performance execution envelope (12/15 = 80%). Index layer descent remains fixed and small due to logarithmic compression bounds, whereas sequential blocks must scale linearly based on the request range span.</w:t>
      </w:r>
    </w:p>
    <w:p>
      <w:pPr>
        <w:spacing w:before="80" w:after="120" w:line="276" w:lineRule="auto"/>
        <w:ind w:left="216"/>
      </w:pPr>
      <w:r>
        <w:rPr>
          <w:rFonts w:ascii="Arial" w:hAnsi="Arial"/>
          <w:b/>
          <w:color w:val="1A365D"/>
          <w:sz w:val="20"/>
        </w:rPr>
        <w:t xml:space="preserve">Answer (b) — Bug Diagnostic &amp; Correction Audit: </w:t>
      </w:r>
      <w:r>
        <w:rPr>
          <w:rFonts w:ascii="Times New Roman" w:hAnsi="Times New Roman"/>
          <w:sz w:val="21"/>
        </w:rPr>
        <w:t>1. Bug 1 (Blind Leftmost Descent): The descent traversal loop unconditionally invokes index pointer allocation down via child[0]. This bypasses the input filter constraints, landing the engine at the absolute beginning of the entire physical disk file instead of looking up 'lo'.</w:t>
        <w:br/>
        <w:t>2. Bug 2 (Missing Early Termination): The scanning iterator completely lacks break constraints. It runs unchecked until it scans the entire linked structure, checking all 100,000 leaf nodes for every call.</w:t>
        <w:br/>
        <w:t>Quantified Operational Impact: Instead of processing only 15 page block files, this baseline flaw executes 100,003 page allocations per range counting call. At 4 KB per page block, it loads roughly 400 MB of space data into memory instead of a sleek 60 KB window, creating a catastrophic 6,666x amplification penalty.</w:t>
      </w:r>
    </w:p>
    <w:tbl>
      <w:tblPr>
        <w:tblW w:type="auto" w:w="0"/>
        <w:jc w:val="center"/>
        <w:tblLook w:firstColumn="1" w:firstRow="1" w:lastColumn="0" w:lastRow="0" w:noHBand="0" w:noVBand="1" w:val="04A0"/>
      </w:tblPr>
      <w:tblGrid>
        <w:gridCol w:w="9360"/>
      </w:tblGrid>
      <w:tr>
        <w:tc>
          <w:tcPr>
            <w:tcW w:type="dxa" w:w="9792"/>
            <w:shd w:fill="1A202C"/>
            <w:tcMar>
              <w:top w:w="100" w:type="dxa"/>
              <w:bottom w:w="100" w:type="dxa"/>
              <w:left w:w="150" w:type="dxa"/>
              <w:right w:w="150" w:type="dxa"/>
            </w:tcMar>
          </w:tcPr>
          <w:p>
            <w:pPr>
              <w:spacing w:before="0" w:after="0"/>
            </w:pPr>
            <w:r>
              <w:rPr>
                <w:rFonts w:ascii="Consolas" w:hAnsi="Consolas"/>
                <w:color w:val="AEACA8"/>
                <w:sz w:val="18"/>
              </w:rPr>
              <w:t>static int fetchRangeCount(BPlusNode root, int lo, int hi) {</w:t>
              <w:br/>
              <w:t xml:space="preserve">    if (root == null) return 0;</w:t>
              <w:br/>
              <w:t xml:space="preserve">    BPlusNode leaf = root;</w:t>
              <w:br/>
              <w:t xml:space="preserve">    </w:t>
              <w:br/>
              <w:t xml:space="preserve">    // 1) Proper Logarithmic Descent using Binary Separators</w:t>
              <w:br/>
              <w:t xml:space="preserve">    while (!leaf.isLeaf) {</w:t>
              <w:br/>
              <w:t xml:space="preserve">        int idx = 0;</w:t>
              <w:br/>
              <w:t xml:space="preserve">        while (idx &lt; leaf.keys.length &amp;&amp; lo &gt;= leaf.keys[idx]) {</w:t>
              <w:br/>
              <w:t xml:space="preserve">            idx++;</w:t>
              <w:br/>
              <w:t xml:space="preserve">        }</w:t>
              <w:br/>
              <w:t xml:space="preserve">        leaf = leaf.children[idx];</w:t>
              <w:br/>
              <w:t xml:space="preserve">    }</w:t>
              <w:br/>
              <w:t xml:space="preserve">    </w:t>
              <w:br/>
              <w:t xml:space="preserve">    // 2) Linear Leaf Walk featuring Strict Early Termination Check</w:t>
              <w:br/>
              <w:t xml:space="preserve">    int internalAccumulator = 0;</w:t>
              <w:br/>
              <w:t xml:space="preserve">    while (leaf != null) {</w:t>
              <w:br/>
              <w:t xml:space="preserve">        for (int i = 0; i &lt; leaf.keys.length; i++) {</w:t>
              <w:br/>
              <w:t xml:space="preserve">            int key = leaf.keys[i];</w:t>
              <w:br/>
              <w:t xml:space="preserve">            if (key &gt; hi) {</w:t>
              <w:br/>
              <w:t xml:space="preserve">                return internalAccumulator; // Terminate early: out of range parameters</w:t>
              <w:br/>
              <w:t xml:space="preserve">            }</w:t>
              <w:br/>
              <w:t xml:space="preserve">            if (key &gt;= lo) {</w:t>
              <w:br/>
              <w:t xml:space="preserve">                internalAccumulator++;</w:t>
              <w:br/>
              <w:t xml:space="preserve">            }</w:t>
              <w:br/>
              <w:t xml:space="preserve">        }</w:t>
              <w:br/>
              <w:t xml:space="preserve">        leaf = leaf.next;</w:t>
              <w:br/>
              <w:t xml:space="preserve">    }</w:t>
              <w:br/>
              <w:t xml:space="preserve">    return internalAccumulator;</w:t>
              <w:br/>
              <w:t>}</w:t>
            </w:r>
          </w:p>
        </w:tc>
      </w:tr>
    </w:tbl>
    <w:p>
      <w:pPr>
        <w:spacing w:before="80" w:after="120" w:line="276" w:lineRule="auto"/>
        <w:ind w:left="216"/>
      </w:pPr>
      <w:r>
        <w:rPr>
          <w:rFonts w:ascii="Arial" w:hAnsi="Arial"/>
          <w:b/>
          <w:color w:val="1A365D"/>
          <w:sz w:val="20"/>
        </w:rPr>
        <w:t xml:space="preserve">Answer (c) — Architectural Index Trade-offs: </w:t>
      </w:r>
      <w:r>
        <w:rPr>
          <w:rFonts w:ascii="Times New Roman" w:hAnsi="Times New Roman"/>
          <w:sz w:val="21"/>
        </w:rPr>
        <w:t>Workload Analysis: The team's proposal is a severe net loss for Zomato's primary query distribution. For 85% of queries (which return ~1,200 items), a point-by-point hash index strategy requires executing 1,200 separate random hash lookups, translating to roughly 1,200 page reads. In contrast, the standard B+ tree fulfills the same query in just 15 page reads.</w:t>
        <w:br/>
        <w:t>Break-Even Metric Derivation: A B+ Tree requires 15 page reads to parse a standard result window. A point-by-point secondary hash approach hits an operational break-even performance threshold only when the cost of executing separate lookups matches the sequential page retrieval profile of the tree:</w:t>
        <w:br/>
        <w:t>Hash Lookups (N) &lt; Total B+ Tree Pages Read (15)</w:t>
        <w:br/>
        <w:t>Conclusion: The secondary hash index provides an advantage only for narrow queries returning fewer than 15 unique items. For the remaining 92% of queries, it creates severe I/O bottlenecks. It should be rejected in favor of an in-memory leaf page buffer pool.</w:t>
      </w:r>
    </w:p>
    <w:p>
      <w:pPr>
        <w:pStyle w:val="Heading1"/>
        <w:keepNext/>
        <w:spacing w:before="360" w:after="120"/>
        <w:pBdr>
          <w:bottom w:val="single" w:sz="12" w:space="4" w:color="2B6CB0"/>
        </w:pBdr>
      </w:pPr>
      <w:r>
        <w:rPr>
          <w:rFonts w:ascii="Arial" w:hAnsi="Arial"/>
          <w:b/>
          <w:color w:val="1A365D"/>
          <w:sz w:val="28"/>
        </w:rPr>
        <w:t>CASE STUDY 3 — CO3: Minimum Spanning Trees &amp; Network Design</w:t>
      </w:r>
    </w:p>
    <w:tbl>
      <w:tblPr>
        <w:tblW w:type="auto" w:w="0"/>
        <w:jc w:val="center"/>
        <w:tblLook w:firstColumn="1" w:firstRow="1" w:lastColumn="0" w:lastRow="0" w:noHBand="0" w:noVBand="1" w:val="04A0"/>
        <w:tblBorders>
          <w:top w:val="single" w:sz="4" w:space="0" w:color="CBD5E0"/>
          <w:bottom w:val="single" w:sz="4" w:space="0" w:color="CBD5E0"/>
          <w:left w:val="single" w:sz="36" w:space="0" w:color="2B6CB0"/>
          <w:right w:val="single" w:sz="4" w:space="0" w:color="CBD5E0"/>
        </w:tblBorders>
      </w:tblPr>
      <w:tblGrid>
        <w:gridCol w:w="9360"/>
      </w:tblGrid>
      <w:tr>
        <w:tc>
          <w:tcPr>
            <w:tcW w:type="dxa" w:w="10080"/>
            <w:shd w:fill="F7FAFC"/>
            <w:tcMar>
              <w:top w:w="140" w:type="dxa"/>
              <w:bottom w:w="140" w:type="dxa"/>
              <w:left w:w="180" w:type="dxa"/>
              <w:right w:w="180" w:type="dxa"/>
            </w:tcMar>
          </w:tcPr>
          <w:p>
            <w:pPr>
              <w:spacing w:after="80"/>
            </w:pPr>
            <w:r>
              <w:rPr>
                <w:rFonts w:ascii="Arial" w:hAnsi="Arial"/>
                <w:b/>
                <w:color w:val="2C5282"/>
                <w:sz w:val="20"/>
              </w:rPr>
              <w:t>SCENARIO CONTEXT: HYDERABAD ECO-GREEN POWER GRID INITIATIVE</w:t>
            </w:r>
          </w:p>
          <w:p>
            <w:pPr>
              <w:spacing w:after="0" w:line="276" w:lineRule="auto"/>
            </w:pPr>
            <w:r>
              <w:t>An infrastructure development consortium must link 6 industrial transmission sub-stations into the primary state grid distribution node located at a central station labeled M (Main Injection Hub). The target perimeter layout involves 6 outlying field connection stations: K (Kukatpally), W (Waverock), S (Secunderabad), E (Gachibowli-EPAM), Y (Yusufguda), and H (Hitech-City). The engineering blueprints map a total of 12 potential high-voltage line corridors. Each candidate edge route is annotated with an estimated project deployment cost denominated in €-crores, dictated by urban clearing permits, street layouts, and underground trenching requirements.</w:t>
              <w:br/>
              <w:br/>
              <w:t>Available Routes &amp; Installation Costs (€-cr):</w:t>
              <w:br/>
              <w:t>(E, S) = 4; (K, W) = 5; (W, S) = 6; (M, E) = 7; (M, K) = 8; (E, Y) = 8;</w:t>
              <w:br/>
              <w:t>(M, Y) = 9; (Y, H) = 9; (M, S) = 10; (M, H) = 11; (M, W) = 12; (H, K) = 14.</w:t>
              <w:br/>
              <w:br/>
              <w:t>System Operational Constraints: (i) Total line construction costs must be minimized; (ii) The network must remain fully connected across all rooms; (iii) Regulatory High-Availability Mandate: There must be at least two completely edge-disjoint paths between the main hub M and station W so a single line failure does not isolate the technology corridor.</w:t>
            </w:r>
          </w:p>
        </w:tc>
      </w:tr>
    </w:tbl>
    <w:p>
      <w:pPr>
        <w:pStyle w:val="Heading2"/>
        <w:keepNext/>
        <w:spacing w:before="360" w:after="120"/>
      </w:pPr>
      <w:r>
        <w:rPr>
          <w:rFonts w:ascii="Arial" w:hAnsi="Arial"/>
          <w:b/>
          <w:color w:val="2B6CB0"/>
          <w:sz w:val="24"/>
        </w:rPr>
        <w:t>Sub-Questions</w:t>
      </w:r>
    </w:p>
    <w:p>
      <w:pPr>
        <w:spacing w:after="120"/>
        <w:ind w:left="288"/>
      </w:pPr>
      <w:r>
        <w:rPr>
          <w:rFonts w:ascii="Times New Roman" w:hAnsi="Times New Roman"/>
        </w:rPr>
        <w:t xml:space="preserve">(a) Execute Kruskal’s Minimum Spanning Tree algorithm to establish the primary network topology over the 12 candidate transmission pathways. Organize and show your execution trace using a structured validation table tracking: (Edge Evaluated, Cost Weight, Final Choice Action [Accept/Reject], Disjoint Component Sets Configuration State). State the final minimum tree composition list and compile its total construction cost budget in €-crores. </w:t>
      </w:r>
      <w:r>
        <w:rPr>
          <w:b/>
        </w:rPr>
        <w:t>[5 Marks]</w:t>
      </w:r>
    </w:p>
    <w:p>
      <w:pPr>
        <w:spacing w:after="120"/>
        <w:ind w:left="288"/>
      </w:pPr>
      <w:r>
        <w:rPr>
          <w:rFonts w:ascii="Times New Roman" w:hAnsi="Times New Roman"/>
        </w:rPr>
        <w:t xml:space="preserve">(b) Analyze the internal complexity parameters of a naïve Kruskal implementation that relies on a basic Disjoint-Set Forest tracking array without implementing Union-by-Rank and without utilizing Path Compression mechanisms. Derive the formal theoretical worst-case time complexity equation across general graph metrics (n vertices, m edges). Calculate the exact upper limit of individual array lookup pointer-hops this unoptimized logic could perform under worst-case structural layouts given this network's dimensions (n=7, m=12). </w:t>
      </w:r>
      <w:r>
        <w:rPr>
          <w:b/>
        </w:rPr>
        <w:t>[5 Marks]</w:t>
      </w:r>
    </w:p>
    <w:p>
      <w:pPr>
        <w:spacing w:after="240"/>
        <w:ind w:left="288"/>
      </w:pPr>
      <w:r>
        <w:rPr>
          <w:rFonts w:ascii="Times New Roman" w:hAnsi="Times New Roman"/>
        </w:rPr>
        <w:t xml:space="preserve">(c) Evaluate the resulting minimum spanning tree from part (a) against the high-availability redundancy mandate. Does the current tree structure offer two completely edge-disjoint routing pathways between station M and station W? If the tree fails to meet this requirement, identify the minimum-cost augmentation strategy by selecting a single additional edge from the candidate set that satisfies the constraint while minimizing cost. Prove its optimality by comparing alternative options. </w:t>
      </w:r>
      <w:r>
        <w:rPr>
          <w:b/>
        </w:rPr>
        <w:t>[5 Marks]</w:t>
      </w:r>
    </w:p>
    <w:p>
      <w:pPr>
        <w:pStyle w:val="Heading2"/>
        <w:keepNext/>
        <w:spacing w:before="360" w:after="120"/>
      </w:pPr>
      <w:r>
        <w:rPr>
          <w:rFonts w:ascii="Arial" w:hAnsi="Arial"/>
          <w:b/>
          <w:color w:val="2B6CB0"/>
          <w:sz w:val="24"/>
        </w:rPr>
        <w:t>Solution Key — Case Study 3</w:t>
      </w:r>
    </w:p>
    <w:p>
      <w:pPr>
        <w:spacing w:before="80" w:after="120" w:line="276" w:lineRule="auto"/>
        <w:ind w:left="216"/>
      </w:pPr>
      <w:r>
        <w:rPr>
          <w:rFonts w:ascii="Arial" w:hAnsi="Arial"/>
          <w:b/>
          <w:color w:val="1A365D"/>
          <w:sz w:val="20"/>
        </w:rPr>
        <w:t xml:space="preserve">Answer (a) — Kruskal Tree Extraction Trace: </w:t>
      </w:r>
      <w:r>
        <w:rPr>
          <w:rFonts w:ascii="Times New Roman" w:hAnsi="Times New Roman"/>
          <w:sz w:val="21"/>
        </w:rPr>
        <w:t>The target network structure scales with n = 7 nodes, meaning that its corresponding spanning tree must encompass exactly n - 1 = 6 lines. Fewer links cause isolation gaps, whereas adding lines introduces loops.</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864"/>
            <w:shd w:fill="2B6CB0"/>
            <w:tcMar>
              <w:top w:w="80" w:type="dxa"/>
              <w:bottom w:w="80" w:type="dxa"/>
              <w:left w:w="100" w:type="dxa"/>
              <w:right w:w="100" w:type="dxa"/>
            </w:tcMar>
          </w:tcPr>
          <w:p>
            <w:pPr>
              <w:spacing w:after="0"/>
            </w:pPr>
            <w:r>
              <w:rPr>
                <w:rFonts w:ascii="Arial" w:hAnsi="Arial"/>
                <w:b/>
                <w:color w:val="FFFFFF"/>
                <w:sz w:val="19"/>
              </w:rPr>
              <w:t>Step</w:t>
            </w:r>
          </w:p>
        </w:tc>
        <w:tc>
          <w:tcPr>
            <w:tcW w:type="dxa" w:w="1728"/>
            <w:shd w:fill="2B6CB0"/>
            <w:tcMar>
              <w:top w:w="80" w:type="dxa"/>
              <w:bottom w:w="80" w:type="dxa"/>
              <w:left w:w="100" w:type="dxa"/>
              <w:right w:w="100" w:type="dxa"/>
            </w:tcMar>
          </w:tcPr>
          <w:p>
            <w:pPr>
              <w:spacing w:after="0"/>
            </w:pPr>
            <w:r>
              <w:rPr>
                <w:rFonts w:ascii="Arial" w:hAnsi="Arial"/>
                <w:b/>
                <w:color w:val="FFFFFF"/>
                <w:sz w:val="19"/>
              </w:rPr>
              <w:t>Edge Evaluated</w:t>
            </w:r>
          </w:p>
        </w:tc>
        <w:tc>
          <w:tcPr>
            <w:tcW w:type="dxa" w:w="864"/>
            <w:shd w:fill="2B6CB0"/>
            <w:tcMar>
              <w:top w:w="80" w:type="dxa"/>
              <w:bottom w:w="80" w:type="dxa"/>
              <w:left w:w="100" w:type="dxa"/>
              <w:right w:w="100" w:type="dxa"/>
            </w:tcMar>
          </w:tcPr>
          <w:p>
            <w:pPr>
              <w:spacing w:after="0"/>
            </w:pPr>
            <w:r>
              <w:rPr>
                <w:rFonts w:ascii="Arial" w:hAnsi="Arial"/>
                <w:b/>
                <w:color w:val="FFFFFF"/>
                <w:sz w:val="19"/>
              </w:rPr>
              <w:t>Cost</w:t>
            </w:r>
          </w:p>
        </w:tc>
        <w:tc>
          <w:tcPr>
            <w:tcW w:type="dxa" w:w="1296"/>
            <w:shd w:fill="2B6CB0"/>
            <w:tcMar>
              <w:top w:w="80" w:type="dxa"/>
              <w:bottom w:w="80" w:type="dxa"/>
              <w:left w:w="100" w:type="dxa"/>
              <w:right w:w="100" w:type="dxa"/>
            </w:tcMar>
          </w:tcPr>
          <w:p>
            <w:pPr>
              <w:spacing w:after="0"/>
            </w:pPr>
            <w:r>
              <w:rPr>
                <w:rFonts w:ascii="Arial" w:hAnsi="Arial"/>
                <w:b/>
                <w:color w:val="FFFFFF"/>
                <w:sz w:val="19"/>
              </w:rPr>
              <w:t>Action</w:t>
            </w:r>
          </w:p>
        </w:tc>
        <w:tc>
          <w:tcPr>
            <w:tcW w:type="dxa" w:w="5328"/>
            <w:shd w:fill="2B6CB0"/>
            <w:tcMar>
              <w:top w:w="80" w:type="dxa"/>
              <w:bottom w:w="80" w:type="dxa"/>
              <w:left w:w="100" w:type="dxa"/>
              <w:right w:w="100" w:type="dxa"/>
            </w:tcMar>
          </w:tcPr>
          <w:p>
            <w:pPr>
              <w:spacing w:after="0"/>
            </w:pPr>
            <w:r>
              <w:rPr>
                <w:rFonts w:ascii="Arial" w:hAnsi="Arial"/>
                <w:b/>
                <w:color w:val="FFFFFF"/>
                <w:sz w:val="19"/>
              </w:rPr>
              <w:t>Disjoint Components Forest State Configuration</w:t>
            </w:r>
          </w:p>
        </w:tc>
      </w:tr>
      <w:tr>
        <w:tc>
          <w:tcPr>
            <w:tcW w:type="dxa" w:w="864"/>
            <w:shd w:fill="F7FAFC"/>
            <w:tcMar>
              <w:top w:w="60" w:type="dxa"/>
              <w:bottom w:w="60" w:type="dxa"/>
              <w:left w:w="100" w:type="dxa"/>
              <w:right w:w="100" w:type="dxa"/>
            </w:tcMar>
          </w:tcPr>
          <w:p>
            <w:pPr>
              <w:spacing w:after="0"/>
            </w:pPr>
            <w:r>
              <w:rPr>
                <w:rFonts w:ascii="Times New Roman" w:hAnsi="Times New Roman"/>
                <w:sz w:val="19"/>
              </w:rPr>
              <w:t>1</w:t>
            </w:r>
          </w:p>
        </w:tc>
        <w:tc>
          <w:tcPr>
            <w:tcW w:type="dxa" w:w="1728"/>
            <w:shd w:fill="F7FAFC"/>
            <w:tcMar>
              <w:top w:w="60" w:type="dxa"/>
              <w:bottom w:w="60" w:type="dxa"/>
              <w:left w:w="100" w:type="dxa"/>
              <w:right w:w="100" w:type="dxa"/>
            </w:tcMar>
          </w:tcPr>
          <w:p>
            <w:pPr>
              <w:spacing w:after="0"/>
            </w:pPr>
            <w:r>
              <w:rPr>
                <w:rFonts w:ascii="Times New Roman" w:hAnsi="Times New Roman"/>
                <w:sz w:val="19"/>
              </w:rPr>
              <w:t>(E, S)</w:t>
            </w:r>
          </w:p>
        </w:tc>
        <w:tc>
          <w:tcPr>
            <w:tcW w:type="dxa" w:w="864"/>
            <w:shd w:fill="F7FAFC"/>
            <w:tcMar>
              <w:top w:w="60" w:type="dxa"/>
              <w:bottom w:w="60" w:type="dxa"/>
              <w:left w:w="100" w:type="dxa"/>
              <w:right w:w="100" w:type="dxa"/>
            </w:tcMar>
          </w:tcPr>
          <w:p>
            <w:pPr>
              <w:spacing w:after="0"/>
            </w:pPr>
            <w:r>
              <w:rPr>
                <w:rFonts w:ascii="Times New Roman" w:hAnsi="Times New Roman"/>
                <w:sz w:val="19"/>
              </w:rPr>
              <w:t>4</w:t>
            </w:r>
          </w:p>
        </w:tc>
        <w:tc>
          <w:tcPr>
            <w:tcW w:type="dxa" w:w="1296"/>
            <w:shd w:fill="F7FAFC"/>
            <w:tcMar>
              <w:top w:w="60" w:type="dxa"/>
              <w:bottom w:w="60" w:type="dxa"/>
              <w:left w:w="100" w:type="dxa"/>
              <w:right w:w="100" w:type="dxa"/>
            </w:tcMar>
          </w:tcPr>
          <w:p>
            <w:pPr>
              <w:spacing w:after="0"/>
            </w:pPr>
            <w:r>
              <w:rPr>
                <w:rFonts w:ascii="Times New Roman" w:hAnsi="Times New Roman"/>
                <w:b/>
                <w:color w:val="48BB78"/>
                <w:sz w:val="19"/>
              </w:rPr>
              <w:t>ACCEPT</w:t>
            </w:r>
          </w:p>
        </w:tc>
        <w:tc>
          <w:tcPr>
            <w:tcW w:type="dxa" w:w="5328"/>
            <w:shd w:fill="F7FAFC"/>
            <w:tcMar>
              <w:top w:w="60" w:type="dxa"/>
              <w:bottom w:w="60" w:type="dxa"/>
              <w:left w:w="100" w:type="dxa"/>
              <w:right w:w="100" w:type="dxa"/>
            </w:tcMar>
          </w:tcPr>
          <w:p>
            <w:pPr>
              <w:spacing w:after="0"/>
            </w:pPr>
            <w:r>
              <w:rPr>
                <w:rFonts w:ascii="Times New Roman" w:hAnsi="Times New Roman"/>
                <w:sz w:val="19"/>
              </w:rPr>
              <w:t>{M}, {K}, {W}, {H}, {Y}, {E, S}</w:t>
            </w:r>
          </w:p>
        </w:tc>
      </w:tr>
      <w:tr>
        <w:tc>
          <w:tcPr>
            <w:tcW w:type="dxa" w:w="864"/>
            <w:shd w:fill="FFFFFF"/>
            <w:tcMar>
              <w:top w:w="60" w:type="dxa"/>
              <w:bottom w:w="60" w:type="dxa"/>
              <w:left w:w="100" w:type="dxa"/>
              <w:right w:w="100" w:type="dxa"/>
            </w:tcMar>
          </w:tcPr>
          <w:p>
            <w:pPr>
              <w:spacing w:after="0"/>
            </w:pPr>
            <w:r>
              <w:rPr>
                <w:rFonts w:ascii="Times New Roman" w:hAnsi="Times New Roman"/>
                <w:sz w:val="19"/>
              </w:rPr>
              <w:t>2</w:t>
            </w:r>
          </w:p>
        </w:tc>
        <w:tc>
          <w:tcPr>
            <w:tcW w:type="dxa" w:w="1728"/>
            <w:shd w:fill="FFFFFF"/>
            <w:tcMar>
              <w:top w:w="60" w:type="dxa"/>
              <w:bottom w:w="60" w:type="dxa"/>
              <w:left w:w="100" w:type="dxa"/>
              <w:right w:w="100" w:type="dxa"/>
            </w:tcMar>
          </w:tcPr>
          <w:p>
            <w:pPr>
              <w:spacing w:after="0"/>
            </w:pPr>
            <w:r>
              <w:rPr>
                <w:rFonts w:ascii="Times New Roman" w:hAnsi="Times New Roman"/>
                <w:sz w:val="19"/>
              </w:rPr>
              <w:t>(K, W)</w:t>
            </w:r>
          </w:p>
        </w:tc>
        <w:tc>
          <w:tcPr>
            <w:tcW w:type="dxa" w:w="864"/>
            <w:shd w:fill="FFFFFF"/>
            <w:tcMar>
              <w:top w:w="60" w:type="dxa"/>
              <w:bottom w:w="60" w:type="dxa"/>
              <w:left w:w="100" w:type="dxa"/>
              <w:right w:w="100" w:type="dxa"/>
            </w:tcMar>
          </w:tcPr>
          <w:p>
            <w:pPr>
              <w:spacing w:after="0"/>
            </w:pPr>
            <w:r>
              <w:rPr>
                <w:rFonts w:ascii="Times New Roman" w:hAnsi="Times New Roman"/>
                <w:sz w:val="19"/>
              </w:rPr>
              <w:t>5</w:t>
            </w:r>
          </w:p>
        </w:tc>
        <w:tc>
          <w:tcPr>
            <w:tcW w:type="dxa" w:w="1296"/>
            <w:shd w:fill="FFFFFF"/>
            <w:tcMar>
              <w:top w:w="60" w:type="dxa"/>
              <w:bottom w:w="60" w:type="dxa"/>
              <w:left w:w="100" w:type="dxa"/>
              <w:right w:w="100" w:type="dxa"/>
            </w:tcMar>
          </w:tcPr>
          <w:p>
            <w:pPr>
              <w:spacing w:after="0"/>
            </w:pPr>
            <w:r>
              <w:rPr>
                <w:rFonts w:ascii="Times New Roman" w:hAnsi="Times New Roman"/>
                <w:b/>
                <w:color w:val="48BB78"/>
                <w:sz w:val="19"/>
              </w:rPr>
              <w:t>ACCEPT</w:t>
            </w:r>
          </w:p>
        </w:tc>
        <w:tc>
          <w:tcPr>
            <w:tcW w:type="dxa" w:w="5328"/>
            <w:shd w:fill="FFFFFF"/>
            <w:tcMar>
              <w:top w:w="60" w:type="dxa"/>
              <w:bottom w:w="60" w:type="dxa"/>
              <w:left w:w="100" w:type="dxa"/>
              <w:right w:w="100" w:type="dxa"/>
            </w:tcMar>
          </w:tcPr>
          <w:p>
            <w:pPr>
              <w:spacing w:after="0"/>
            </w:pPr>
            <w:r>
              <w:rPr>
                <w:rFonts w:ascii="Times New Roman" w:hAnsi="Times New Roman"/>
                <w:sz w:val="19"/>
              </w:rPr>
              <w:t>{M}, {H}, {Y}, {K, W}, {E, S}</w:t>
            </w:r>
          </w:p>
        </w:tc>
      </w:tr>
      <w:tr>
        <w:tc>
          <w:tcPr>
            <w:tcW w:type="dxa" w:w="864"/>
            <w:shd w:fill="F7FAFC"/>
            <w:tcMar>
              <w:top w:w="60" w:type="dxa"/>
              <w:bottom w:w="60" w:type="dxa"/>
              <w:left w:w="100" w:type="dxa"/>
              <w:right w:w="100" w:type="dxa"/>
            </w:tcMar>
          </w:tcPr>
          <w:p>
            <w:pPr>
              <w:spacing w:after="0"/>
            </w:pPr>
            <w:r>
              <w:rPr>
                <w:rFonts w:ascii="Times New Roman" w:hAnsi="Times New Roman"/>
                <w:sz w:val="19"/>
              </w:rPr>
              <w:t>3</w:t>
            </w:r>
          </w:p>
        </w:tc>
        <w:tc>
          <w:tcPr>
            <w:tcW w:type="dxa" w:w="1728"/>
            <w:shd w:fill="F7FAFC"/>
            <w:tcMar>
              <w:top w:w="60" w:type="dxa"/>
              <w:bottom w:w="60" w:type="dxa"/>
              <w:left w:w="100" w:type="dxa"/>
              <w:right w:w="100" w:type="dxa"/>
            </w:tcMar>
          </w:tcPr>
          <w:p>
            <w:pPr>
              <w:spacing w:after="0"/>
            </w:pPr>
            <w:r>
              <w:rPr>
                <w:rFonts w:ascii="Times New Roman" w:hAnsi="Times New Roman"/>
                <w:sz w:val="19"/>
              </w:rPr>
              <w:t>(W, S)</w:t>
            </w:r>
          </w:p>
        </w:tc>
        <w:tc>
          <w:tcPr>
            <w:tcW w:type="dxa" w:w="864"/>
            <w:shd w:fill="F7FAFC"/>
            <w:tcMar>
              <w:top w:w="60" w:type="dxa"/>
              <w:bottom w:w="60" w:type="dxa"/>
              <w:left w:w="100" w:type="dxa"/>
              <w:right w:w="100" w:type="dxa"/>
            </w:tcMar>
          </w:tcPr>
          <w:p>
            <w:pPr>
              <w:spacing w:after="0"/>
            </w:pPr>
            <w:r>
              <w:rPr>
                <w:rFonts w:ascii="Times New Roman" w:hAnsi="Times New Roman"/>
                <w:sz w:val="19"/>
              </w:rPr>
              <w:t>6</w:t>
            </w:r>
          </w:p>
        </w:tc>
        <w:tc>
          <w:tcPr>
            <w:tcW w:type="dxa" w:w="1296"/>
            <w:shd w:fill="F7FAFC"/>
            <w:tcMar>
              <w:top w:w="60" w:type="dxa"/>
              <w:bottom w:w="60" w:type="dxa"/>
              <w:left w:w="100" w:type="dxa"/>
              <w:right w:w="100" w:type="dxa"/>
            </w:tcMar>
          </w:tcPr>
          <w:p>
            <w:pPr>
              <w:spacing w:after="0"/>
            </w:pPr>
            <w:r>
              <w:rPr>
                <w:rFonts w:ascii="Times New Roman" w:hAnsi="Times New Roman"/>
                <w:b/>
                <w:color w:val="48BB78"/>
                <w:sz w:val="19"/>
              </w:rPr>
              <w:t>ACCEPT</w:t>
            </w:r>
          </w:p>
        </w:tc>
        <w:tc>
          <w:tcPr>
            <w:tcW w:type="dxa" w:w="5328"/>
            <w:shd w:fill="F7FAFC"/>
            <w:tcMar>
              <w:top w:w="60" w:type="dxa"/>
              <w:bottom w:w="60" w:type="dxa"/>
              <w:left w:w="100" w:type="dxa"/>
              <w:right w:w="100" w:type="dxa"/>
            </w:tcMar>
          </w:tcPr>
          <w:p>
            <w:pPr>
              <w:spacing w:after="0"/>
            </w:pPr>
            <w:r>
              <w:rPr>
                <w:rFonts w:ascii="Times New Roman" w:hAnsi="Times New Roman"/>
                <w:sz w:val="19"/>
              </w:rPr>
              <w:t>{M}, {H}, {Y}, {K, W, E, S}</w:t>
            </w:r>
          </w:p>
        </w:tc>
      </w:tr>
      <w:tr>
        <w:tc>
          <w:tcPr>
            <w:tcW w:type="dxa" w:w="864"/>
            <w:shd w:fill="FFFFFF"/>
            <w:tcMar>
              <w:top w:w="60" w:type="dxa"/>
              <w:bottom w:w="60" w:type="dxa"/>
              <w:left w:w="100" w:type="dxa"/>
              <w:right w:w="100" w:type="dxa"/>
            </w:tcMar>
          </w:tcPr>
          <w:p>
            <w:pPr>
              <w:spacing w:after="0"/>
            </w:pPr>
            <w:r>
              <w:rPr>
                <w:rFonts w:ascii="Times New Roman" w:hAnsi="Times New Roman"/>
                <w:sz w:val="19"/>
              </w:rPr>
              <w:t>4</w:t>
            </w:r>
          </w:p>
        </w:tc>
        <w:tc>
          <w:tcPr>
            <w:tcW w:type="dxa" w:w="1728"/>
            <w:shd w:fill="FFFFFF"/>
            <w:tcMar>
              <w:top w:w="60" w:type="dxa"/>
              <w:bottom w:w="60" w:type="dxa"/>
              <w:left w:w="100" w:type="dxa"/>
              <w:right w:w="100" w:type="dxa"/>
            </w:tcMar>
          </w:tcPr>
          <w:p>
            <w:pPr>
              <w:spacing w:after="0"/>
            </w:pPr>
            <w:r>
              <w:rPr>
                <w:rFonts w:ascii="Times New Roman" w:hAnsi="Times New Roman"/>
                <w:sz w:val="19"/>
              </w:rPr>
              <w:t>(M, E)</w:t>
            </w:r>
          </w:p>
        </w:tc>
        <w:tc>
          <w:tcPr>
            <w:tcW w:type="dxa" w:w="864"/>
            <w:shd w:fill="FFFFFF"/>
            <w:tcMar>
              <w:top w:w="60" w:type="dxa"/>
              <w:bottom w:w="60" w:type="dxa"/>
              <w:left w:w="100" w:type="dxa"/>
              <w:right w:w="100" w:type="dxa"/>
            </w:tcMar>
          </w:tcPr>
          <w:p>
            <w:pPr>
              <w:spacing w:after="0"/>
            </w:pPr>
            <w:r>
              <w:rPr>
                <w:rFonts w:ascii="Times New Roman" w:hAnsi="Times New Roman"/>
                <w:sz w:val="19"/>
              </w:rPr>
              <w:t>7</w:t>
            </w:r>
          </w:p>
        </w:tc>
        <w:tc>
          <w:tcPr>
            <w:tcW w:type="dxa" w:w="1296"/>
            <w:shd w:fill="FFFFFF"/>
            <w:tcMar>
              <w:top w:w="60" w:type="dxa"/>
              <w:bottom w:w="60" w:type="dxa"/>
              <w:left w:w="100" w:type="dxa"/>
              <w:right w:w="100" w:type="dxa"/>
            </w:tcMar>
          </w:tcPr>
          <w:p>
            <w:pPr>
              <w:spacing w:after="0"/>
            </w:pPr>
            <w:r>
              <w:rPr>
                <w:rFonts w:ascii="Times New Roman" w:hAnsi="Times New Roman"/>
                <w:b/>
                <w:color w:val="48BB78"/>
                <w:sz w:val="19"/>
              </w:rPr>
              <w:t>ACCEPT</w:t>
            </w:r>
          </w:p>
        </w:tc>
        <w:tc>
          <w:tcPr>
            <w:tcW w:type="dxa" w:w="5328"/>
            <w:shd w:fill="FFFFFF"/>
            <w:tcMar>
              <w:top w:w="60" w:type="dxa"/>
              <w:bottom w:w="60" w:type="dxa"/>
              <w:left w:w="100" w:type="dxa"/>
              <w:right w:w="100" w:type="dxa"/>
            </w:tcMar>
          </w:tcPr>
          <w:p>
            <w:pPr>
              <w:spacing w:after="0"/>
            </w:pPr>
            <w:r>
              <w:rPr>
                <w:rFonts w:ascii="Times New Roman" w:hAnsi="Times New Roman"/>
                <w:sz w:val="19"/>
              </w:rPr>
              <w:t>{H}, {Y}, {M, K, W, S, E}</w:t>
            </w:r>
          </w:p>
        </w:tc>
      </w:tr>
      <w:tr>
        <w:tc>
          <w:tcPr>
            <w:tcW w:type="dxa" w:w="864"/>
            <w:shd w:fill="F7FAFC"/>
            <w:tcMar>
              <w:top w:w="60" w:type="dxa"/>
              <w:bottom w:w="60" w:type="dxa"/>
              <w:left w:w="100" w:type="dxa"/>
              <w:right w:w="100" w:type="dxa"/>
            </w:tcMar>
          </w:tcPr>
          <w:p>
            <w:pPr>
              <w:spacing w:after="0"/>
            </w:pPr>
            <w:r>
              <w:rPr>
                <w:rFonts w:ascii="Times New Roman" w:hAnsi="Times New Roman"/>
                <w:sz w:val="19"/>
              </w:rPr>
              <w:t>5</w:t>
            </w:r>
          </w:p>
        </w:tc>
        <w:tc>
          <w:tcPr>
            <w:tcW w:type="dxa" w:w="1728"/>
            <w:shd w:fill="F7FAFC"/>
            <w:tcMar>
              <w:top w:w="60" w:type="dxa"/>
              <w:bottom w:w="60" w:type="dxa"/>
              <w:left w:w="100" w:type="dxa"/>
              <w:right w:w="100" w:type="dxa"/>
            </w:tcMar>
          </w:tcPr>
          <w:p>
            <w:pPr>
              <w:spacing w:after="0"/>
            </w:pPr>
            <w:r>
              <w:rPr>
                <w:rFonts w:ascii="Times New Roman" w:hAnsi="Times New Roman"/>
                <w:sz w:val="19"/>
              </w:rPr>
              <w:t>(M, K)</w:t>
            </w:r>
          </w:p>
        </w:tc>
        <w:tc>
          <w:tcPr>
            <w:tcW w:type="dxa" w:w="864"/>
            <w:shd w:fill="F7FAFC"/>
            <w:tcMar>
              <w:top w:w="60" w:type="dxa"/>
              <w:bottom w:w="60" w:type="dxa"/>
              <w:left w:w="100" w:type="dxa"/>
              <w:right w:w="100" w:type="dxa"/>
            </w:tcMar>
          </w:tcPr>
          <w:p>
            <w:pPr>
              <w:spacing w:after="0"/>
            </w:pPr>
            <w:r>
              <w:rPr>
                <w:rFonts w:ascii="Times New Roman" w:hAnsi="Times New Roman"/>
                <w:sz w:val="19"/>
              </w:rPr>
              <w:t>8</w:t>
            </w:r>
          </w:p>
        </w:tc>
        <w:tc>
          <w:tcPr>
            <w:tcW w:type="dxa" w:w="1296"/>
            <w:shd w:fill="F7FAFC"/>
            <w:tcMar>
              <w:top w:w="60" w:type="dxa"/>
              <w:bottom w:w="60" w:type="dxa"/>
              <w:left w:w="100" w:type="dxa"/>
              <w:right w:w="100" w:type="dxa"/>
            </w:tcMar>
          </w:tcPr>
          <w:p>
            <w:pPr>
              <w:spacing w:after="0"/>
            </w:pPr>
            <w:r>
              <w:rPr>
                <w:rFonts w:ascii="Times New Roman" w:hAnsi="Times New Roman"/>
                <w:b/>
                <w:color w:val="F56565"/>
                <w:sz w:val="19"/>
              </w:rPr>
              <w:t>REJECT</w:t>
            </w:r>
          </w:p>
        </w:tc>
        <w:tc>
          <w:tcPr>
            <w:tcW w:type="dxa" w:w="5328"/>
            <w:shd w:fill="F7FAFC"/>
            <w:tcMar>
              <w:top w:w="60" w:type="dxa"/>
              <w:bottom w:w="60" w:type="dxa"/>
              <w:left w:w="100" w:type="dxa"/>
              <w:right w:w="100" w:type="dxa"/>
            </w:tcMar>
          </w:tcPr>
          <w:p>
            <w:pPr>
              <w:spacing w:after="0"/>
            </w:pPr>
            <w:r>
              <w:rPr>
                <w:rFonts w:ascii="Times New Roman" w:hAnsi="Times New Roman"/>
                <w:sz w:val="19"/>
              </w:rPr>
              <w:t>Cycle Formed: M - E - S - W - K - M</w:t>
            </w:r>
          </w:p>
        </w:tc>
      </w:tr>
      <w:tr>
        <w:tc>
          <w:tcPr>
            <w:tcW w:type="dxa" w:w="864"/>
            <w:shd w:fill="FFFFFF"/>
            <w:tcMar>
              <w:top w:w="60" w:type="dxa"/>
              <w:bottom w:w="60" w:type="dxa"/>
              <w:left w:w="100" w:type="dxa"/>
              <w:right w:w="100" w:type="dxa"/>
            </w:tcMar>
          </w:tcPr>
          <w:p>
            <w:pPr>
              <w:spacing w:after="0"/>
            </w:pPr>
            <w:r>
              <w:rPr>
                <w:rFonts w:ascii="Times New Roman" w:hAnsi="Times New Roman"/>
                <w:sz w:val="19"/>
              </w:rPr>
              <w:t>6</w:t>
            </w:r>
          </w:p>
        </w:tc>
        <w:tc>
          <w:tcPr>
            <w:tcW w:type="dxa" w:w="1728"/>
            <w:shd w:fill="FFFFFF"/>
            <w:tcMar>
              <w:top w:w="60" w:type="dxa"/>
              <w:bottom w:w="60" w:type="dxa"/>
              <w:left w:w="100" w:type="dxa"/>
              <w:right w:w="100" w:type="dxa"/>
            </w:tcMar>
          </w:tcPr>
          <w:p>
            <w:pPr>
              <w:spacing w:after="0"/>
            </w:pPr>
            <w:r>
              <w:rPr>
                <w:rFonts w:ascii="Times New Roman" w:hAnsi="Times New Roman"/>
                <w:sz w:val="19"/>
              </w:rPr>
              <w:t>(E, Y)</w:t>
            </w:r>
          </w:p>
        </w:tc>
        <w:tc>
          <w:tcPr>
            <w:tcW w:type="dxa" w:w="864"/>
            <w:shd w:fill="FFFFFF"/>
            <w:tcMar>
              <w:top w:w="60" w:type="dxa"/>
              <w:bottom w:w="60" w:type="dxa"/>
              <w:left w:w="100" w:type="dxa"/>
              <w:right w:w="100" w:type="dxa"/>
            </w:tcMar>
          </w:tcPr>
          <w:p>
            <w:pPr>
              <w:spacing w:after="0"/>
            </w:pPr>
            <w:r>
              <w:rPr>
                <w:rFonts w:ascii="Times New Roman" w:hAnsi="Times New Roman"/>
                <w:sz w:val="19"/>
              </w:rPr>
              <w:t>8</w:t>
            </w:r>
          </w:p>
        </w:tc>
        <w:tc>
          <w:tcPr>
            <w:tcW w:type="dxa" w:w="1296"/>
            <w:shd w:fill="FFFFFF"/>
            <w:tcMar>
              <w:top w:w="60" w:type="dxa"/>
              <w:bottom w:w="60" w:type="dxa"/>
              <w:left w:w="100" w:type="dxa"/>
              <w:right w:w="100" w:type="dxa"/>
            </w:tcMar>
          </w:tcPr>
          <w:p>
            <w:pPr>
              <w:spacing w:after="0"/>
            </w:pPr>
            <w:r>
              <w:rPr>
                <w:rFonts w:ascii="Times New Roman" w:hAnsi="Times New Roman"/>
                <w:b/>
                <w:color w:val="48BB78"/>
                <w:sz w:val="19"/>
              </w:rPr>
              <w:t>ACCEPT</w:t>
            </w:r>
          </w:p>
        </w:tc>
        <w:tc>
          <w:tcPr>
            <w:tcW w:type="dxa" w:w="5328"/>
            <w:shd w:fill="FFFFFF"/>
            <w:tcMar>
              <w:top w:w="60" w:type="dxa"/>
              <w:bottom w:w="60" w:type="dxa"/>
              <w:left w:w="100" w:type="dxa"/>
              <w:right w:w="100" w:type="dxa"/>
            </w:tcMar>
          </w:tcPr>
          <w:p>
            <w:pPr>
              <w:spacing w:after="0"/>
            </w:pPr>
            <w:r>
              <w:rPr>
                <w:rFonts w:ascii="Times New Roman" w:hAnsi="Times New Roman"/>
                <w:sz w:val="19"/>
              </w:rPr>
              <w:t>{H}, {M, K, W, S, E, Y}</w:t>
            </w:r>
          </w:p>
        </w:tc>
      </w:tr>
      <w:tr>
        <w:tc>
          <w:tcPr>
            <w:tcW w:type="dxa" w:w="864"/>
            <w:shd w:fill="F7FAFC"/>
            <w:tcMar>
              <w:top w:w="60" w:type="dxa"/>
              <w:bottom w:w="60" w:type="dxa"/>
              <w:left w:w="100" w:type="dxa"/>
              <w:right w:w="100" w:type="dxa"/>
            </w:tcMar>
          </w:tcPr>
          <w:p>
            <w:pPr>
              <w:spacing w:after="0"/>
            </w:pPr>
            <w:r>
              <w:rPr>
                <w:rFonts w:ascii="Times New Roman" w:hAnsi="Times New Roman"/>
                <w:sz w:val="19"/>
              </w:rPr>
              <w:t>7</w:t>
            </w:r>
          </w:p>
        </w:tc>
        <w:tc>
          <w:tcPr>
            <w:tcW w:type="dxa" w:w="1728"/>
            <w:shd w:fill="F7FAFC"/>
            <w:tcMar>
              <w:top w:w="60" w:type="dxa"/>
              <w:bottom w:w="60" w:type="dxa"/>
              <w:left w:w="100" w:type="dxa"/>
              <w:right w:w="100" w:type="dxa"/>
            </w:tcMar>
          </w:tcPr>
          <w:p>
            <w:pPr>
              <w:spacing w:after="0"/>
            </w:pPr>
            <w:r>
              <w:rPr>
                <w:rFonts w:ascii="Times New Roman" w:hAnsi="Times New Roman"/>
                <w:sz w:val="19"/>
              </w:rPr>
              <w:t>(M, Y)</w:t>
            </w:r>
          </w:p>
        </w:tc>
        <w:tc>
          <w:tcPr>
            <w:tcW w:type="dxa" w:w="864"/>
            <w:shd w:fill="F7FAFC"/>
            <w:tcMar>
              <w:top w:w="60" w:type="dxa"/>
              <w:bottom w:w="60" w:type="dxa"/>
              <w:left w:w="100" w:type="dxa"/>
              <w:right w:w="100" w:type="dxa"/>
            </w:tcMar>
          </w:tcPr>
          <w:p>
            <w:pPr>
              <w:spacing w:after="0"/>
            </w:pPr>
            <w:r>
              <w:rPr>
                <w:rFonts w:ascii="Times New Roman" w:hAnsi="Times New Roman"/>
                <w:sz w:val="19"/>
              </w:rPr>
              <w:t>9</w:t>
            </w:r>
          </w:p>
        </w:tc>
        <w:tc>
          <w:tcPr>
            <w:tcW w:type="dxa" w:w="1296"/>
            <w:shd w:fill="F7FAFC"/>
            <w:tcMar>
              <w:top w:w="60" w:type="dxa"/>
              <w:bottom w:w="60" w:type="dxa"/>
              <w:left w:w="100" w:type="dxa"/>
              <w:right w:w="100" w:type="dxa"/>
            </w:tcMar>
          </w:tcPr>
          <w:p>
            <w:pPr>
              <w:spacing w:after="0"/>
            </w:pPr>
            <w:r>
              <w:rPr>
                <w:rFonts w:ascii="Times New Roman" w:hAnsi="Times New Roman"/>
                <w:b/>
                <w:color w:val="F56565"/>
                <w:sz w:val="19"/>
              </w:rPr>
              <w:t>REJECT</w:t>
            </w:r>
          </w:p>
        </w:tc>
        <w:tc>
          <w:tcPr>
            <w:tcW w:type="dxa" w:w="5328"/>
            <w:shd w:fill="F7FAFC"/>
            <w:tcMar>
              <w:top w:w="60" w:type="dxa"/>
              <w:bottom w:w="60" w:type="dxa"/>
              <w:left w:w="100" w:type="dxa"/>
              <w:right w:w="100" w:type="dxa"/>
            </w:tcMar>
          </w:tcPr>
          <w:p>
            <w:pPr>
              <w:spacing w:after="0"/>
            </w:pPr>
            <w:r>
              <w:rPr>
                <w:rFonts w:ascii="Times New Roman" w:hAnsi="Times New Roman"/>
                <w:sz w:val="19"/>
              </w:rPr>
              <w:t>Cycle Formed: M - E - Y - M</w:t>
            </w:r>
          </w:p>
        </w:tc>
      </w:tr>
      <w:tr>
        <w:tc>
          <w:tcPr>
            <w:tcW w:type="dxa" w:w="864"/>
            <w:shd w:fill="FFFFFF"/>
            <w:tcMar>
              <w:top w:w="60" w:type="dxa"/>
              <w:bottom w:w="60" w:type="dxa"/>
              <w:left w:w="100" w:type="dxa"/>
              <w:right w:w="100" w:type="dxa"/>
            </w:tcMar>
          </w:tcPr>
          <w:p>
            <w:pPr>
              <w:spacing w:after="0"/>
            </w:pPr>
            <w:r>
              <w:rPr>
                <w:rFonts w:ascii="Times New Roman" w:hAnsi="Times New Roman"/>
                <w:sz w:val="19"/>
              </w:rPr>
              <w:t>8</w:t>
            </w:r>
          </w:p>
        </w:tc>
        <w:tc>
          <w:tcPr>
            <w:tcW w:type="dxa" w:w="1728"/>
            <w:shd w:fill="FFFFFF"/>
            <w:tcMar>
              <w:top w:w="60" w:type="dxa"/>
              <w:bottom w:w="60" w:type="dxa"/>
              <w:left w:w="100" w:type="dxa"/>
              <w:right w:w="100" w:type="dxa"/>
            </w:tcMar>
          </w:tcPr>
          <w:p>
            <w:pPr>
              <w:spacing w:after="0"/>
            </w:pPr>
            <w:r>
              <w:rPr>
                <w:rFonts w:ascii="Times New Roman" w:hAnsi="Times New Roman"/>
                <w:sz w:val="19"/>
              </w:rPr>
              <w:t>(Y, H)</w:t>
            </w:r>
          </w:p>
        </w:tc>
        <w:tc>
          <w:tcPr>
            <w:tcW w:type="dxa" w:w="864"/>
            <w:shd w:fill="FFFFFF"/>
            <w:tcMar>
              <w:top w:w="60" w:type="dxa"/>
              <w:bottom w:w="60" w:type="dxa"/>
              <w:left w:w="100" w:type="dxa"/>
              <w:right w:w="100" w:type="dxa"/>
            </w:tcMar>
          </w:tcPr>
          <w:p>
            <w:pPr>
              <w:spacing w:after="0"/>
            </w:pPr>
            <w:r>
              <w:rPr>
                <w:rFonts w:ascii="Times New Roman" w:hAnsi="Times New Roman"/>
                <w:sz w:val="19"/>
              </w:rPr>
              <w:t>9</w:t>
            </w:r>
          </w:p>
        </w:tc>
        <w:tc>
          <w:tcPr>
            <w:tcW w:type="dxa" w:w="1296"/>
            <w:shd w:fill="FFFFFF"/>
            <w:tcMar>
              <w:top w:w="60" w:type="dxa"/>
              <w:bottom w:w="60" w:type="dxa"/>
              <w:left w:w="100" w:type="dxa"/>
              <w:right w:w="100" w:type="dxa"/>
            </w:tcMar>
          </w:tcPr>
          <w:p>
            <w:pPr>
              <w:spacing w:after="0"/>
            </w:pPr>
            <w:r>
              <w:rPr>
                <w:rFonts w:ascii="Times New Roman" w:hAnsi="Times New Roman"/>
                <w:b/>
                <w:color w:val="48BB78"/>
                <w:sz w:val="19"/>
              </w:rPr>
              <w:t>ACCEPT</w:t>
            </w:r>
          </w:p>
        </w:tc>
        <w:tc>
          <w:tcPr>
            <w:tcW w:type="dxa" w:w="5328"/>
            <w:shd w:fill="FFFFFF"/>
            <w:tcMar>
              <w:top w:w="60" w:type="dxa"/>
              <w:bottom w:w="60" w:type="dxa"/>
              <w:left w:w="100" w:type="dxa"/>
              <w:right w:w="100" w:type="dxa"/>
            </w:tcMar>
          </w:tcPr>
          <w:p>
            <w:pPr>
              <w:spacing w:after="0"/>
            </w:pPr>
            <w:r>
              <w:rPr>
                <w:rFonts w:ascii="Times New Roman" w:hAnsi="Times New Roman"/>
                <w:sz w:val="19"/>
              </w:rPr>
              <w:t>{M, K, W, S, E, Y, H} (Unified Grid Layout)</w:t>
            </w:r>
          </w:p>
        </w:tc>
      </w:tr>
    </w:tbl>
    <w:p>
      <w:pPr>
        <w:spacing w:before="120"/>
        <w:ind w:left="216"/>
      </w:pPr>
      <w:r>
        <w:rPr>
          <w:rFonts w:ascii="Times New Roman" w:hAnsi="Times New Roman"/>
          <w:b/>
          <w:sz w:val="21"/>
        </w:rPr>
        <w:t xml:space="preserve">Final Tree Configuration Edge Set: </w:t>
      </w:r>
      <w:r>
        <w:rPr>
          <w:rFonts w:ascii="Times New Roman" w:hAnsi="Times New Roman"/>
          <w:sz w:val="21"/>
        </w:rPr>
        <w:t>{(E, S), (K, W), (W, S), (M, E), (E, Y), (Y, H)}</w:t>
        <w:br/>
      </w:r>
      <w:r>
        <w:rPr>
          <w:rFonts w:ascii="Times New Roman" w:hAnsi="Times New Roman"/>
          <w:b/>
          <w:sz w:val="21"/>
        </w:rPr>
        <w:t xml:space="preserve">Total Minimum Baseline Cost Summary: </w:t>
      </w:r>
      <w:r>
        <w:rPr>
          <w:rFonts w:ascii="Times New Roman" w:hAnsi="Times New Roman"/>
          <w:sz w:val="21"/>
        </w:rPr>
        <w:t>4 + 5 + 6 + 7 + 8 + 9 = 39 €-crores.</w:t>
      </w:r>
    </w:p>
    <w:p>
      <w:pPr>
        <w:spacing w:before="80" w:after="120" w:line="276" w:lineRule="auto"/>
        <w:ind w:left="216"/>
      </w:pPr>
      <w:r>
        <w:rPr>
          <w:rFonts w:ascii="Arial" w:hAnsi="Arial"/>
          <w:b/>
          <w:color w:val="1A365D"/>
          <w:sz w:val="20"/>
        </w:rPr>
        <w:t xml:space="preserve">Answer (b) — Disjoint-Set Complexity Parameters: </w:t>
      </w:r>
      <w:r>
        <w:rPr>
          <w:rFonts w:ascii="Times New Roman" w:hAnsi="Times New Roman"/>
          <w:sz w:val="21"/>
        </w:rPr>
        <w:t>Unoptimized Complexity Analysis: Initial edge sorting consumes O(m log m) steps. Without path compression, finding a root node requires traversing a linear parent pointer chain, which takes O(n) time in the worst case. Without union-by-rank, trees can degenerate into linear chains, making the union step take O(n) time as well. Processing m total edges yields a worst-case time complexity of O(m log m + m * n).</w:t>
        <w:br/>
        <w:t>Concrete Array Lookup Pointer-Hops Boundary: For this specific project framework (n=7, m=12), an unoptimized find() iteration can traverse up to n - 1 = 6 references to discover standard parent components. Since each edge evaluation invokes find() twice (once per endpoint), the upper bound for total pointer hops across all 12 candidate paths is computed as: 12 paths * 2 invocations/path * 6 hops = 144 individual lookup operations.</w:t>
        <w:br/>
        <w:t>Optimized Configuration: Implementing both union-by-rank and path compression mechanics bounds the amortized find operational criteria down to near-constant coefficients, denoted as O(α(n)) where α matches the Inverse Ackermann function (α(n) &lt;= 4). This maps the cumulative operational profile down cleanly to O(m log m), rendering disjoint forest lookup constraints completely negligible against standard heap edge sort runs.</w:t>
      </w:r>
    </w:p>
    <w:p>
      <w:pPr>
        <w:spacing w:before="80" w:after="120" w:line="276" w:lineRule="auto"/>
        <w:ind w:left="216"/>
      </w:pPr>
      <w:r>
        <w:rPr>
          <w:rFonts w:ascii="Arial" w:hAnsi="Arial"/>
          <w:b/>
          <w:color w:val="1A365D"/>
          <w:sz w:val="20"/>
        </w:rPr>
        <w:t xml:space="preserve">Answer (c) — Network Redundancy Optimization: </w:t>
      </w:r>
      <w:r>
        <w:rPr>
          <w:rFonts w:ascii="Times New Roman" w:hAnsi="Times New Roman"/>
          <w:sz w:val="21"/>
        </w:rPr>
        <w:t>High-Availability Mandate Audit: The baseline tree configuration extracted by Kruskal's algorithm violates the high-availability redundancy guidelines. As a standard minimum spanning tree structure, it only contains a single unique routing path connecting M to technology hub W:</w:t>
        <w:br/>
        <w:t>Primary Path: M -&gt; E -&gt; S -&gt; W</w:t>
        <w:br/>
        <w:t>Any standalone failure along segments (M,E), (E,S), or (S,W) fully disconnects and isolates the technology corridor.</w:t>
        <w:br/>
        <w:t>Augmentation Evaluation Metrics:</w:t>
        <w:br/>
        <w:t>To create a completely edge-disjoint secondary path, alternative candidate links from the graph must be integrated:</w:t>
        <w:br/>
        <w:t>1. Add Edge (M, K) at cost 8: This introduces a separate route M -&gt; K -&gt; W. This path shares zero edges with the primary path, completely satisfying the high-availability mandate. Adjusted Project Cost: 39 + 8 = 47 €-crores.</w:t>
        <w:br/>
        <w:t>2. Add Edge (M, W) at cost 12: This maps a direct line (M -&gt; W), satisfying edge-disjoint criteria but loading a higher operational cost parameter. Adjusted Project Cost: 39 + 12 = 51 €-crores.</w:t>
        <w:br/>
        <w:t>3. Add Edge (M, S) at cost 10: This forms path M -&gt; S -&gt; W. This option is structurally invalid because it reuses edge (S, W) which already belongs to the primary path, failing the independent edge-disjoint routing criteria.</w:t>
        <w:br/>
        <w:t>Optimal Augmentation Strategy Conclusion: Integrating path edge (M, K) at an incremental project cost of €8-crores stands as the absolute minimum-cost augmentation method that satisfies the regulatory guidelines. The updated minimum high-availability project network cost settles at exactly €47-crores.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