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5BBA"/>
          <w:sz w:val="72"/>
          <w:szCs w:val="72"/>
        </w:rPr>
        <w:t xml:space="preserve">PrismBridge</w:t>
      </w:r>
    </w:p>
    <w:p>
      <w:pPr>
        <w:spacing w:after="60"/>
        <w:jc w:val="center"/>
      </w:pPr>
      <w:r>
        <w:rPr>
          <w:i/>
          <w:iCs/>
          <w:color w:val="69707D"/>
          <w:sz w:val="28"/>
          <w:szCs w:val="28"/>
        </w:rPr>
        <w:t xml:space="preserve">Clear view. Connected control.</w:t>
      </w:r>
    </w:p>
    <w:p>
      <w:pPr>
        <w:spacing w:after="0" w:before="360"/>
        <w:jc w:val="center"/>
      </w:pPr>
      <w:r>
        <w:rPr>
          <w:b/>
          <w:bCs/>
          <w:sz w:val="36"/>
          <w:szCs w:val="36"/>
        </w:rPr>
        <w:t xml:space="preserve">Software Requirements Specification</w:t>
      </w:r>
    </w:p>
    <w:p>
      <w:pPr>
        <w:spacing w:after="0"/>
        <w:jc w:val="center"/>
      </w:pPr>
      <w:r>
        <w:rPr>
          <w:color w:val="1D2433"/>
          <w:sz w:val="26"/>
          <w:szCs w:val="26"/>
        </w:rPr>
        <w:t xml:space="preserve">Distributor-side Fabric Commission Tracker</w:t>
      </w:r>
    </w:p>
    <w:p>
      <w:pPr>
        <w:spacing w:after="0" w:before="120"/>
        <w:jc w:val="center"/>
      </w:pPr>
      <w:r>
        <w:rPr>
          <w:color w:val="69707D"/>
          <w:sz w:val="22"/>
          <w:szCs w:val="22"/>
        </w:rPr>
        <w:t xml:space="preserve">Orders · Payments · Commissions · Masters · Dashboard</w:t>
      </w:r>
    </w:p>
    <w:p>
      <w:pPr>
        <w:spacing w:after="0" w:before="1600"/>
        <w:jc w:val="center"/>
      </w:pPr>
      <w:r>
        <w:rPr>
          <w:sz w:val="22"/>
          <w:szCs w:val="22"/>
        </w:rPr>
        <w:t xml:space="preserve">Version 1.0 (Build specification) · June 2026</w:t>
      </w:r>
    </w:p>
    <w:p>
      <w:pPr>
        <w:spacing w:after="0"/>
        <w:jc w:val="center"/>
      </w:pPr>
      <w:r>
        <w:rPr>
          <w:color w:val="69707D"/>
          <w:sz w:val="22"/>
          <w:szCs w:val="22"/>
        </w:rPr>
        <w:t xml:space="preserve">Prepared by KRUXIN Global</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Software Requirements Specification (SRS) defines, in full, the PrismBridge web application — a commission-tracking system for a fabric distributor whose business is intermediation between fabric manufacturers (vendors) and buyers (customers). The document is written to be self-sufficient: a competent development team should be able to rebuild the application end to end from this specification alone, reproducing the data model, business logic, screens, behaviours, visual design and deployment.</w:t>
      </w:r>
    </w:p>
    <w:p>
      <w:pPr>
        <w:pStyle w:val="Heading2"/>
      </w:pPr>
      <w:r>
        <w:t xml:space="preserve">1.2 Product, branding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Attribute</w:t>
            </w:r>
          </w:p>
        </w:tc>
        <w:tc>
          <w:tcPr>
            <w:tcW w:type="dxa" w:w="655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Value</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Application name</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PrismBridge</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Tagline</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Clear view. Connected control.</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Domain</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Distributor-side fabric commission tracking</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Prepared / owned by</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KRUXIN Global</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Footnote shown in app</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Prototype by KRUXIN Global</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Footer version line</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PrismBridge · v0.1 (Prototype) · June 2026</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Browser tab title</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PrismBridge — Clear view. Connected control.</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Currency</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Indian Rupee (INR, ₹), assumed consistent throughout</w:t>
            </w:r>
          </w:p>
        </w:tc>
      </w:tr>
    </w:tbl>
    <w:p>
      <w:pPr>
        <w:pStyle w:val="Heading2"/>
      </w:pPr>
      <w:r>
        <w:t xml:space="preserve">1.3 Scope</w:t>
      </w:r>
    </w:p>
    <w:p>
      <w:pPr>
        <w:spacing w:after="120"/>
      </w:pPr>
      <w:r>
        <w:t xml:space="preserve">PrismBridge tracks the full chain of value from an order being placed, through invoices raised by manufacturers, to customer payments, and finally to the commission the distributor earns on each payment. The distributor does not hold inventory in the commission sense; its revenue is the commission earned from manufacturers on fabric that flows through it to customers.</w:t>
      </w:r>
    </w:p>
    <w:p>
      <w:pPr>
        <w:spacing w:after="120"/>
      </w:pPr>
      <w:r>
        <w:rPr>
          <w:b/>
          <w:bCs/>
        </w:rPr>
        <w:t xml:space="preserve">In scope:</w:t>
      </w:r>
    </w:p>
    <w:p>
      <w:pPr>
        <w:pStyle w:val="ListParagraph"/>
        <w:numPr>
          <w:ilvl w:val="0"/>
          <w:numId w:val="2"/>
        </w:numPr>
        <w:spacing w:after="40"/>
      </w:pPr>
      <w:r>
        <w:t xml:space="preserve">A Dashboard summarising orders, outstanding amounts, overdue exposure and commission.</w:t>
      </w:r>
    </w:p>
    <w:p>
      <w:pPr>
        <w:pStyle w:val="ListParagraph"/>
        <w:numPr>
          <w:ilvl w:val="0"/>
          <w:numId w:val="2"/>
        </w:numPr>
        <w:spacing w:after="40"/>
      </w:pPr>
      <w:r>
        <w:t xml:space="preserve">An Orders module: order capture with line-level commission, fulfilment tracking, and a fulfilment-update flow that raises invoices.</w:t>
      </w:r>
    </w:p>
    <w:p>
      <w:pPr>
        <w:pStyle w:val="ListParagraph"/>
        <w:numPr>
          <w:ilvl w:val="0"/>
          <w:numId w:val="2"/>
        </w:numPr>
        <w:spacing w:after="40"/>
      </w:pPr>
      <w:r>
        <w:t xml:space="preserve">A Payments module: invoices, payments, outstanding/aging analysis; recording a payment triggers commission accrual.</w:t>
      </w:r>
    </w:p>
    <w:p>
      <w:pPr>
        <w:pStyle w:val="ListParagraph"/>
        <w:numPr>
          <w:ilvl w:val="0"/>
          <w:numId w:val="2"/>
        </w:numPr>
        <w:spacing w:after="40"/>
      </w:pPr>
      <w:r>
        <w:t xml:space="preserve">A Commissions module: computed commission accruals with full traceability, plus a settlement flow (manufacturer → distributor).</w:t>
      </w:r>
    </w:p>
    <w:p>
      <w:pPr>
        <w:pStyle w:val="ListParagraph"/>
        <w:numPr>
          <w:ilvl w:val="0"/>
          <w:numId w:val="2"/>
        </w:numPr>
        <w:spacing w:after="40"/>
      </w:pPr>
      <w:r>
        <w:t xml:space="preserve">Masters: Customers, Manufacturers and Items (fabric catalog), each with view/add/edit.</w:t>
      </w:r>
    </w:p>
    <w:p>
      <w:pPr>
        <w:spacing w:after="120"/>
      </w:pPr>
      <w:r>
        <w:rPr>
          <w:b/>
          <w:bCs/>
        </w:rPr>
        <w:t xml:space="preserve">Out of scope (prototype):</w:t>
      </w:r>
    </w:p>
    <w:p>
      <w:pPr>
        <w:pStyle w:val="ListParagraph"/>
        <w:numPr>
          <w:ilvl w:val="0"/>
          <w:numId w:val="2"/>
        </w:numPr>
        <w:spacing w:after="40"/>
      </w:pPr>
      <w:r>
        <w:t xml:space="preserve">Taxes, returns / credit notes, and multi-currency.</w:t>
      </w:r>
    </w:p>
    <w:p>
      <w:pPr>
        <w:pStyle w:val="ListParagraph"/>
        <w:numPr>
          <w:ilvl w:val="0"/>
          <w:numId w:val="2"/>
        </w:numPr>
        <w:spacing w:after="40"/>
      </w:pPr>
      <w:r>
        <w:t xml:space="preserve">Authentication / multiple logins (single distributor user; vendors and customers are master records, not logins).</w:t>
      </w:r>
    </w:p>
    <w:p>
      <w:pPr>
        <w:pStyle w:val="ListParagraph"/>
        <w:numPr>
          <w:ilvl w:val="0"/>
          <w:numId w:val="2"/>
        </w:numPr>
        <w:spacing w:after="40"/>
      </w:pPr>
      <w:r>
        <w:t xml:space="preserve">A full collections ledger for settlement (settlement is tracked as a status plus date/reference, not as partial cash receipts).</w:t>
      </w:r>
    </w:p>
    <w:p>
      <w:pPr>
        <w:pStyle w:val="ListParagraph"/>
        <w:numPr>
          <w:ilvl w:val="0"/>
          <w:numId w:val="2"/>
        </w:numPr>
        <w:spacing w:after="40"/>
      </w:pPr>
      <w:r>
        <w:t xml:space="preserve">Server-side persistence — all data is held in browser memory for the session (see 6 Non-functional requirements).</w:t>
      </w:r>
    </w:p>
    <w:p>
      <w:pPr>
        <w:pStyle w:val="Heading2"/>
      </w:pPr>
      <w:r>
        <w:t xml:space="preserve">1.4 Definitions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Term</w:t>
            </w:r>
          </w:p>
        </w:tc>
        <w:tc>
          <w:tcPr>
            <w:tcW w:type="dxa" w:w="692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Meaning</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Distributor</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The single user of the system; records orders, invoices, payments; monitors outstanding amounts and commission.</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Manufacturer / Vendor</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Supplies fabric, raises invoices, pays commission to the distributor. A master record.</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Customer / Buyer</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Places orders, receives invoices, makes payments. A master record.</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 purchase between exactly one customer and one manufacturer, containing one or more order lines.</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line</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 single fabric line item with quantity, rate and a commission term.</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 bill raised by a manufacturer to a customer. Composed of invoice lines, each billing a portion of one order line.</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Payment</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 receipt recorded against an invoice (full or partial). The event that earns commission.</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accrual</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 computed record of commission earned, one per (payment, order line), with full traceability.</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Settlement</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The manufacturer paying the distributor the earned commission; tracked as status + date + reference.</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Aging</w:t>
            </w:r>
          </w:p>
        </w:tc>
        <w:tc>
          <w:tcPr>
            <w:tcW w:type="dxa" w:w="69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Days a positive outstanding balance is past the invoice due date.</w:t>
            </w:r>
          </w:p>
        </w:tc>
      </w:tr>
    </w:tbl>
    <w:p>
      <w:pPr>
        <w:pStyle w:val="Heading2"/>
      </w:pPr>
      <w:r>
        <w:t xml:space="preserve">1.5 References</w:t>
      </w:r>
    </w:p>
    <w:p>
      <w:pPr>
        <w:pStyle w:val="ListParagraph"/>
        <w:numPr>
          <w:ilvl w:val="0"/>
          <w:numId w:val="2"/>
        </w:numPr>
        <w:spacing w:after="40"/>
      </w:pPr>
      <w:r>
        <w:t xml:space="preserve">Original understanding document: “Fabric Commission Tracker — Requirements &amp; Solution Understanding (v0.1 Draft)”.</w:t>
      </w:r>
    </w:p>
    <w:p>
      <w:pPr>
        <w:pStyle w:val="ListParagraph"/>
        <w:numPr>
          <w:ilvl w:val="0"/>
          <w:numId w:val="2"/>
        </w:numPr>
        <w:spacing w:after="40"/>
      </w:pPr>
      <w:r>
        <w:t xml:space="preserve">Live reference implementation: https://prismbridge.vercel.app</w:t>
      </w:r>
    </w:p>
    <w:p>
      <w:r>
        <w:br w:type="page"/>
      </w:r>
    </w:p>
    <w:p>
      <w:pPr>
        <w:pStyle w:val="Heading1"/>
      </w:pPr>
      <w:r>
        <w:t xml:space="preserve">2. Overall Description</w:t>
      </w:r>
    </w:p>
    <w:p>
      <w:pPr>
        <w:pStyle w:val="Heading2"/>
      </w:pPr>
      <w:r>
        <w:t xml:space="preserve">2.1 The core mechanic</w:t>
      </w:r>
    </w:p>
    <w:p>
      <w:pPr>
        <w:spacing w:after="120"/>
      </w:pPr>
      <w:r>
        <w:t xml:space="preserve">Because commission is earned only when a customer pays, and because invoices and orders are many-to-many, the commission for any single payment must be apportioned. The chain works as follows:</w:t>
      </w:r>
    </w:p>
    <w:p>
      <w:pPr>
        <w:pStyle w:val="ListParagraph"/>
        <w:numPr>
          <w:ilvl w:val="0"/>
          <w:numId w:val="3"/>
        </w:numPr>
        <w:spacing w:after="40"/>
      </w:pPr>
      <w:r>
        <w:t xml:space="preserve">A customer places one or more orders for fabric from a manufacturer.</w:t>
      </w:r>
    </w:p>
    <w:p>
      <w:pPr>
        <w:pStyle w:val="ListParagraph"/>
        <w:numPr>
          <w:ilvl w:val="0"/>
          <w:numId w:val="3"/>
        </w:numPr>
        <w:spacing w:after="40"/>
      </w:pPr>
      <w:r>
        <w:t xml:space="preserve">The manufacturer raises one or more invoices, each of which may bill one or many of those orders (and an order may be billed across several invoices).</w:t>
      </w:r>
    </w:p>
    <w:p>
      <w:pPr>
        <w:pStyle w:val="ListParagraph"/>
        <w:numPr>
          <w:ilvl w:val="0"/>
          <w:numId w:val="3"/>
        </w:numPr>
        <w:spacing w:after="40"/>
      </w:pPr>
      <w:r>
        <w:t xml:space="preserve">The customer pays against an invoice — in full or in part.</w:t>
      </w:r>
    </w:p>
    <w:p>
      <w:pPr>
        <w:pStyle w:val="ListParagraph"/>
        <w:numPr>
          <w:ilvl w:val="0"/>
          <w:numId w:val="3"/>
        </w:numPr>
        <w:spacing w:after="40"/>
      </w:pPr>
      <w:r>
        <w:t xml:space="preserve">At the moment of payment, the distributor earns commission on the paid amount, at the rate agreed on the originating order line.</w:t>
      </w:r>
    </w:p>
    <w:p>
      <w:pPr>
        <w:pStyle w:val="ListParagraph"/>
        <w:numPr>
          <w:ilvl w:val="0"/>
          <w:numId w:val="3"/>
        </w:numPr>
        <w:spacing w:after="40"/>
      </w:pPr>
      <w:r>
        <w:t xml:space="preserve">That earned commission is recorded as a commission accrual, linked back to the payment, invoice and order line.</w:t>
      </w:r>
    </w:p>
    <w:p>
      <w:pPr>
        <w:pStyle w:val="ListParagraph"/>
        <w:numPr>
          <w:ilvl w:val="0"/>
          <w:numId w:val="3"/>
        </w:numPr>
        <w:spacing w:after="40"/>
      </w:pPr>
      <w:r>
        <w:t xml:space="preserve">Later, the manufacturer settles the accrued commission with the distributor (status Earned → Settled).</w:t>
      </w:r>
    </w:p>
    <w:p>
      <w:pPr>
        <w:spacing w:after="120"/>
      </w:pPr>
      <w:r>
        <w:t xml:space="preserve">A single payment can therefore generate commission spread across multiple orders if the invoice it pays bundles several orders together. The system makes this traceability visible and auditable.</w:t>
      </w:r>
    </w:p>
    <w:p>
      <w:pPr>
        <w:pStyle w:val="Heading2"/>
      </w:pPr>
      <w:r>
        <w:t xml:space="preserve">2.2 Confirmed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Decision</w:t>
            </w:r>
          </w:p>
        </w:tc>
        <w:tc>
          <w:tcPr>
            <w:tcW w:type="dxa" w:w="3744"/>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Rule</w:t>
            </w:r>
          </w:p>
        </w:tc>
        <w:tc>
          <w:tcPr>
            <w:tcW w:type="dxa" w:w="3744"/>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Why it matters</w:t>
            </w:r>
          </w:p>
        </w:tc>
      </w:tr>
      <w:t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source</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The distributor earns commission from the manufacturer (vendor) only.</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is payable from manufacturer to distributor; it does not affect the price the customer sees.</w:t>
            </w:r>
          </w:p>
        </w:tc>
      </w:tr>
      <w:t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trigger</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is earned when the customer pays the invoice.</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accrues per payment event — not at order, not at invoice issue. Partial payments earn partial commission.</w:t>
            </w:r>
          </w:p>
        </w:tc>
      </w:tr>
      <w:t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 Invoice link</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Many-to-many: an invoice can cover several orders; an order can be billed across several invoices.</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on a payment must be allocated back across the relevant order lines. This is the central modelling challenge.</w:t>
            </w:r>
          </w:p>
        </w:tc>
      </w:tr>
      <w:t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Allocation method</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Proportional by line value (each invoice line bills a known amount of one order line).</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Gives deterministic, auditable apportionment of any paid amount.</w:t>
            </w:r>
          </w:p>
        </w:tc>
      </w:tr>
      <w:t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Fulfilment → invoice</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Updating fulfilment on an order raises an invoice for the newly-fulfilled value.</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Ties physical fulfilment to billing so commission can subsequently accrue on payment.</w:t>
            </w:r>
          </w:p>
        </w:tc>
      </w:tr>
    </w:tbl>
    <w:p>
      <w:pPr>
        <w:pStyle w:val="Heading2"/>
      </w:pPr>
      <w:r>
        <w:t xml:space="preserve">2.3 Actors</w:t>
      </w:r>
    </w:p>
    <w:p>
      <w:pPr>
        <w:pStyle w:val="ListParagraph"/>
        <w:numPr>
          <w:ilvl w:val="0"/>
          <w:numId w:val="2"/>
        </w:numPr>
        <w:spacing w:after="40"/>
      </w:pPr>
      <w:r>
        <w:rPr>
          <w:b/>
          <w:bCs/>
        </w:rPr>
        <w:t xml:space="preserve">Distributor (the user): </w:t>
      </w:r>
      <w:r>
        <w:t xml:space="preserve">operates the system; records orders, invoices and payments; monitors outstanding amounts and earned commission; records settlements.</w:t>
      </w:r>
    </w:p>
    <w:p>
      <w:pPr>
        <w:pStyle w:val="ListParagraph"/>
        <w:numPr>
          <w:ilvl w:val="0"/>
          <w:numId w:val="2"/>
        </w:numPr>
        <w:spacing w:after="40"/>
      </w:pPr>
      <w:r>
        <w:rPr>
          <w:b/>
          <w:bCs/>
        </w:rPr>
        <w:t xml:space="preserve">Manufacturer / Vendor: </w:t>
      </w:r>
      <w:r>
        <w:t xml:space="preserve">master record; raises invoices and owes commission. Not a system login in this build.</w:t>
      </w:r>
    </w:p>
    <w:p>
      <w:pPr>
        <w:pStyle w:val="ListParagraph"/>
        <w:numPr>
          <w:ilvl w:val="0"/>
          <w:numId w:val="2"/>
        </w:numPr>
        <w:spacing w:after="40"/>
      </w:pPr>
      <w:r>
        <w:rPr>
          <w:b/>
          <w:bCs/>
        </w:rPr>
        <w:t xml:space="preserve">Customer / Buyer: </w:t>
      </w:r>
      <w:r>
        <w:t xml:space="preserve">master record; places orders, receives invoices and makes payments. Not a system login.</w:t>
      </w:r>
    </w:p>
    <w:p>
      <w:pPr>
        <w:pStyle w:val="Heading2"/>
      </w:pPr>
      <w:r>
        <w:t xml:space="preserve">2.4 Assumptions &amp; constraints</w:t>
      </w:r>
    </w:p>
    <w:p>
      <w:pPr>
        <w:pStyle w:val="ListParagraph"/>
        <w:numPr>
          <w:ilvl w:val="0"/>
          <w:numId w:val="2"/>
        </w:numPr>
        <w:spacing w:after="40"/>
      </w:pPr>
      <w:r>
        <w:t xml:space="preserve">Single distributor user; no authentication.</w:t>
      </w:r>
    </w:p>
    <w:p>
      <w:pPr>
        <w:pStyle w:val="ListParagraph"/>
        <w:numPr>
          <w:ilvl w:val="0"/>
          <w:numId w:val="2"/>
        </w:numPr>
        <w:spacing w:after="40"/>
      </w:pPr>
      <w:r>
        <w:t xml:space="preserve">Currency and units are consistent (INR; quantity units metres / rolls / kg).</w:t>
      </w:r>
    </w:p>
    <w:p>
      <w:pPr>
        <w:pStyle w:val="ListParagraph"/>
        <w:numPr>
          <w:ilvl w:val="0"/>
          <w:numId w:val="2"/>
        </w:numPr>
        <w:spacing w:after="40"/>
      </w:pPr>
      <w:r>
        <w:t xml:space="preserve">“Today” is fixed at 28 June 2026 in the reference build so seeded aging is stable; production should use the system clock.</w:t>
      </w:r>
    </w:p>
    <w:p>
      <w:pPr>
        <w:pStyle w:val="ListParagraph"/>
        <w:numPr>
          <w:ilvl w:val="0"/>
          <w:numId w:val="2"/>
        </w:numPr>
        <w:spacing w:after="40"/>
      </w:pPr>
      <w:r>
        <w:t xml:space="preserve">Data is seeded and held in memory; there is no backend or persistence layer in this build.</w:t>
      </w:r>
    </w:p>
    <w:p>
      <w:r>
        <w:br w:type="page"/>
      </w:r>
    </w:p>
    <w:p>
      <w:pPr>
        <w:pStyle w:val="Heading1"/>
      </w:pPr>
      <w:r>
        <w:t xml:space="preserve">3. Data Model</w:t>
      </w:r>
    </w:p>
    <w:p>
      <w:pPr>
        <w:pStyle w:val="Heading2"/>
      </w:pPr>
      <w:r>
        <w:t xml:space="preserve">3.1 Relationships</w:t>
      </w:r>
    </w:p>
    <w:p>
      <w:pPr>
        <w:pStyle w:val="ListParagraph"/>
        <w:numPr>
          <w:ilvl w:val="0"/>
          <w:numId w:val="2"/>
        </w:numPr>
        <w:spacing w:after="40"/>
      </w:pPr>
      <w:r>
        <w:t xml:space="preserve">Manufacturer 1 — ∞ Orders; Customer 1 — ∞ Orders.</w:t>
      </w:r>
    </w:p>
    <w:p>
      <w:pPr>
        <w:pStyle w:val="ListParagraph"/>
        <w:numPr>
          <w:ilvl w:val="0"/>
          <w:numId w:val="2"/>
        </w:numPr>
        <w:spacing w:after="40"/>
      </w:pPr>
      <w:r>
        <w:t xml:space="preserve">Order 1 — ∞ Order Lines.</w:t>
      </w:r>
    </w:p>
    <w:p>
      <w:pPr>
        <w:pStyle w:val="ListParagraph"/>
        <w:numPr>
          <w:ilvl w:val="0"/>
          <w:numId w:val="2"/>
        </w:numPr>
        <w:spacing w:after="40"/>
      </w:pPr>
      <w:r>
        <w:t xml:space="preserve">Order ∞ — ∞ Invoice (realised through Invoice Lines, each referencing one order line).</w:t>
      </w:r>
    </w:p>
    <w:p>
      <w:pPr>
        <w:pStyle w:val="ListParagraph"/>
        <w:numPr>
          <w:ilvl w:val="0"/>
          <w:numId w:val="2"/>
        </w:numPr>
        <w:spacing w:after="40"/>
      </w:pPr>
      <w:r>
        <w:t xml:space="preserve">Invoice 1 — ∞ Invoice Lines; Invoice 1 — ∞ Payments.</w:t>
      </w:r>
    </w:p>
    <w:p>
      <w:pPr>
        <w:pStyle w:val="ListParagraph"/>
        <w:numPr>
          <w:ilvl w:val="0"/>
          <w:numId w:val="2"/>
        </w:numPr>
        <w:spacing w:after="40"/>
      </w:pPr>
      <w:r>
        <w:t xml:space="preserve">Payment 1 — ∞ Commission Accruals (one per underlying order line apportioned).</w:t>
      </w:r>
    </w:p>
    <w:p>
      <w:pPr>
        <w:pStyle w:val="ListParagraph"/>
        <w:numPr>
          <w:ilvl w:val="0"/>
          <w:numId w:val="2"/>
        </w:numPr>
        <w:spacing w:after="40"/>
      </w:pPr>
      <w:r>
        <w:t xml:space="preserve">Commission Accrual 0..1 — Settlement (keyed by accrual id).</w:t>
      </w:r>
    </w:p>
    <w:p>
      <w:pPr>
        <w:pStyle w:val="ListParagraph"/>
        <w:numPr>
          <w:ilvl w:val="0"/>
          <w:numId w:val="2"/>
        </w:numPr>
        <w:spacing w:after="40"/>
      </w:pPr>
      <w:r>
        <w:t xml:space="preserve">Item (master) 0..1 — ∞ Order Lines (an order line may be created from a catalog item, which prefills its values).</w:t>
      </w:r>
    </w:p>
    <w:p>
      <w:pPr>
        <w:pStyle w:val="Heading2"/>
      </w:pPr>
      <w:r>
        <w:t xml:space="preserve">3.2 Entity definitions</w:t>
      </w:r>
    </w:p>
    <w:p>
      <w:pPr>
        <w:pStyle w:val="Heading3"/>
      </w:pPr>
      <w:r>
        <w:t xml:space="preserve">Manufacturer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tblHeader/>
        </w:trPr>
        <w:tc>
          <w:tcPr>
            <w:tcW w:type="dxa" w:w="224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055"/>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System key, e.g. “M1”.</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name</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Master data.</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contact</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Contact person.</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location</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City/state.</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defaultCommission</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{type, value}</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type = “percent” | “fixed”; default applied to new order lines, overridable.</w:t>
            </w:r>
          </w:p>
        </w:tc>
      </w:tr>
    </w:tbl>
    <w:p>
      <w:pPr>
        <w:pStyle w:val="Heading3"/>
      </w:pPr>
      <w:r>
        <w:t xml:space="preserve">Customer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tblHeader/>
        </w:trPr>
        <w:tc>
          <w:tcPr>
            <w:tcW w:type="dxa" w:w="224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055"/>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System key, e.g. “C1”.</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name</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Master data.</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contact</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Contact person.</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location</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City/state.</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creditTermsDays</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Drives invoice due date (date + terms) and therefore aging.</w:t>
            </w:r>
          </w:p>
        </w:tc>
      </w:tr>
    </w:tbl>
    <w:p>
      <w:pPr>
        <w:pStyle w:val="Heading3"/>
      </w:pPr>
      <w:r>
        <w:t xml:space="preserve">Item (Fabric catalog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tblHeader/>
        </w:trPr>
        <w:tc>
          <w:tcPr>
            <w:tcW w:type="dxa" w:w="224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055"/>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System key, e.g. “IT-01”.</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name</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Fabric / item name.</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unit</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 | “rolls” | “kg”.</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defaultRate</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Default selling rate per unit.</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defaultCommission</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{type, value}</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Default commission term used to prefill an order line.</w:t>
            </w:r>
          </w:p>
        </w:tc>
      </w:tr>
    </w:tbl>
    <w:p>
      <w:pPr>
        <w:pStyle w:val="Heading3"/>
      </w:pPr>
      <w:r>
        <w:t xml:space="preserv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tblHeader/>
        </w:trPr>
        <w:tc>
          <w:tcPr>
            <w:tcW w:type="dxa" w:w="224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055"/>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System key, e.g. “ORD-1001”.</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customerId</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Required.</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manufacturerId</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Required (one buyer, one vendor per order).</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 (ISO)</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date.</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lines</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OrderLine[]</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One or more order lines.</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status</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derived</w:t>
            </w:r>
          </w:p>
        </w:tc>
        <w:tc>
          <w:tcPr>
            <w:tcW w:type="dxa" w:w="505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New / Partially Fulfilled / Completed — computed, never stored (see 4.2).</w:t>
            </w:r>
          </w:p>
        </w:tc>
      </w:tr>
    </w:tbl>
    <w:p>
      <w:pPr>
        <w:pStyle w:val="Heading3"/>
      </w:pPr>
      <w:r>
        <w:t xml:space="preserve">Order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tblHeader/>
        </w:trPr>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187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42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e.g. “ORD-1001-L1”.</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itemId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Optional link to catalog Item used to prefill.</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desc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Fabric description.</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unit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Quantity unit.</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qty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Ordered quantity.</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qtyFulfilled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Fulfilled quantity (0 ≤ qtyFulfilled ≤ qty).</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Selling rate per unit. Line amount = qty × rate.</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{type, value}</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type = “percent” (value = %) or “fixed” (value = ₹ for the full line).</w:t>
            </w:r>
          </w:p>
        </w:tc>
      </w:tr>
    </w:tbl>
    <w:p>
      <w:pPr>
        <w:pStyle w:val="Heading3"/>
      </w:pPr>
      <w:r>
        <w:t xml:space="preserve">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5054"/>
      </w:tblGrid>
      <w:tr>
        <w:trPr>
          <w:tblHeader/>
        </w:trPr>
        <w:tc>
          <w:tcPr>
            <w:tcW w:type="dxa" w:w="2434"/>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187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054"/>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Manufacturer invoice number, e.g. “INV-S-2201”.</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manufacturerId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Who raised it.</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customerId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05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Who owes it.</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 (ISO)</w:t>
            </w:r>
          </w:p>
        </w:tc>
        <w:tc>
          <w:tcPr>
            <w:tcW w:type="dxa" w:w="505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 date.</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dueDate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 (ISO)</w:t>
            </w:r>
          </w:p>
        </w:tc>
        <w:tc>
          <w:tcPr>
            <w:tcW w:type="dxa" w:w="505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Derived from customer credit terms (date + terms) but stored.</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lines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InvoiceLine[]</w:t>
            </w:r>
          </w:p>
        </w:tc>
        <w:tc>
          <w:tcPr>
            <w:tcW w:type="dxa" w:w="505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One or more invoice lines.</w:t>
            </w:r>
          </w:p>
        </w:tc>
      </w:tr>
      <w:tr>
        <w:tc>
          <w:tcPr>
            <w:tcW w:type="dxa" w:w="243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amount / paid / balance / status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derived</w:t>
            </w:r>
          </w:p>
        </w:tc>
        <w:tc>
          <w:tcPr>
            <w:tcW w:type="dxa" w:w="505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Computed from lines and payments (see 4.3).</w:t>
            </w:r>
          </w:p>
        </w:tc>
      </w:tr>
    </w:tbl>
    <w:p>
      <w:pPr>
        <w:pStyle w:val="Heading3"/>
      </w:pPr>
      <w:r>
        <w:t xml:space="preserve">Invoice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rPr>
          <w:tblHeader/>
        </w:trPr>
        <w:tc>
          <w:tcPr>
            <w:tcW w:type="dxa" w:w="224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1685"/>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42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orderId</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The order being billed.</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orderLineId</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The specific order line billed.</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amount</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Amount of that order line billed on this invoice (enables split billing &amp; bundling).</w:t>
            </w:r>
          </w:p>
        </w:tc>
      </w:tr>
    </w:tbl>
    <w:p>
      <w:pPr>
        <w:pStyle w:val="Heading3"/>
      </w:pPr>
      <w:r>
        <w:t xml:space="preserv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tblHeader/>
        </w:trPr>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187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542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System key, e.g. “PMT-5001”.</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The invoice being paid.</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 (ISO)</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Payment date — the commission-earning event.</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amount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Paid amount (≤ outstanding balance).</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mode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Bank transfer / UPI / Cheque / Cash.</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reference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Optional external reference.</w:t>
            </w:r>
          </w:p>
        </w:tc>
      </w:tr>
    </w:tbl>
    <w:p>
      <w:pPr>
        <w:pStyle w:val="Heading3"/>
      </w:pPr>
      <w:r>
        <w:t xml:space="preserve">Commission Accrual (derived — not stored)</w:t>
      </w:r>
    </w:p>
    <w:p>
      <w:pPr>
        <w:spacing w:after="120"/>
      </w:pPr>
      <w:r>
        <w:t xml:space="preserve">Accruals are computed live from payments every render; they are never persisted. One accrual is produced per (payment, order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Field</w:t>
            </w:r>
          </w:p>
        </w:tc>
        <w:tc>
          <w:tcPr>
            <w:tcW w:type="dxa" w:w="187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Type</w:t>
            </w:r>
          </w:p>
        </w:tc>
        <w:tc>
          <w:tcPr>
            <w:tcW w:type="dxa" w:w="4680"/>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Notes</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Composite: “{paymentId}#{orderLineId}”.</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paymentId / invoiceId / orderId / orderLineId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Full traceability references.</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manufacturerId / customerId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Source and payer.</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basisAmount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Apportioned paid amount this commission was computed on.</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commissionType / commissionValue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 / number</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Inherited from the order line.</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number</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Computed commission (see 4.5).</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status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string</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 or “Settled”.</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settlement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 reference}?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Present when settled.</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date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The payment date.</w:t>
            </w:r>
          </w:p>
        </w:tc>
      </w:tr>
    </w:tbl>
    <w:p>
      <w:pPr>
        <w:pStyle w:val="Heading3"/>
      </w:pPr>
      <w:r>
        <w:t xml:space="preserve">Settlement (map keyed by accrual id)</w:t>
      </w:r>
    </w:p>
    <w:p>
      <w:pPr>
        <w:spacing w:after="120"/>
      </w:pPr>
      <w:r>
        <w:t xml:space="preserve">Stored as an object: { [accrualId]: { date, reference } }. Presence implies status = Settled. This survives the live recomputation of accruals.</w:t>
      </w:r>
    </w:p>
    <w:p>
      <w:r>
        <w:br w:type="page"/>
      </w:r>
    </w:p>
    <w:p>
      <w:pPr>
        <w:pStyle w:val="Heading1"/>
      </w:pPr>
      <w:r>
        <w:t xml:space="preserve">4. Business Rules &amp; Logic</w:t>
      </w:r>
    </w:p>
    <w:p>
      <w:pPr>
        <w:pStyle w:val="Heading2"/>
      </w:pPr>
      <w:r>
        <w:t xml:space="preserve">4.1 Derived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Quantity</w:t>
            </w:r>
          </w:p>
        </w:tc>
        <w:tc>
          <w:tcPr>
            <w:tcW w:type="dxa" w:w="561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Formula</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Line amount</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qty × rate</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total</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Σ line amount over all order lines</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Line pending qty</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max(0, qty − qtyFulfilled)</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Line pending value</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pending qty × rate</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pending value</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Σ line pending value</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 amount</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Σ invoice-line amount</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 paid</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Σ payment amount for that invoice</w:t>
            </w:r>
          </w:p>
        </w:tc>
      </w:tr>
      <w:tr>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 balance</w:t>
            </w:r>
          </w:p>
        </w:tc>
        <w:tc>
          <w:tcPr>
            <w:tcW w:type="dxa" w:w="561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max(0, amount − paid)</w:t>
            </w:r>
          </w:p>
        </w:tc>
      </w:tr>
    </w:tbl>
    <w:p>
      <w:pPr>
        <w:pStyle w:val="Heading2"/>
      </w:pPr>
      <w:r>
        <w:t xml:space="preserve">4.2 Order &amp; line status (derived from fulfilment)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Status</w:t>
            </w:r>
          </w:p>
        </w:tc>
        <w:tc>
          <w:tcPr>
            <w:tcW w:type="dxa" w:w="655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Condition</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New</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No quantity fulfilled (fulfilled = 0).</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Partially Fulfilled</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Some but not all quantity fulfilled (0 &lt; fulfilled &lt; ordered).</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Completed</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All quantity fulfilled (fulfilled ≥ ordered).</w:t>
            </w:r>
          </w:p>
        </w:tc>
      </w:tr>
    </w:tbl>
    <w:p>
      <w:pPr>
        <w:spacing w:after="120"/>
      </w:pPr>
      <w:r>
        <w:t xml:space="preserve">Line status uses the individual line; order status aggregates total ordered vs total fulfilled across all lines.</w:t>
      </w:r>
    </w:p>
    <w:p>
      <w:pPr>
        <w:pStyle w:val="Heading2"/>
      </w:pPr>
      <w:r>
        <w:t xml:space="preserve">4.3 Invoice status (derived from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Status</w:t>
            </w:r>
          </w:p>
        </w:tc>
        <w:tc>
          <w:tcPr>
            <w:tcW w:type="dxa" w:w="655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Condition</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New</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No payment recorded (paid = 0).</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Partially Paid</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paid &gt; 0 and balance &gt; 0.</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Paid</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balance = 0 (within 0.0001 tolerance).</w:t>
            </w:r>
          </w:p>
        </w:tc>
      </w:tr>
    </w:tbl>
    <w:p>
      <w:pPr>
        <w:pStyle w:val="Heading2"/>
      </w:pPr>
      <w:r>
        <w:t xml:space="preserve">4.4 Aging</w:t>
      </w:r>
    </w:p>
    <w:p>
      <w:pPr>
        <w:spacing w:after="120"/>
      </w:pPr>
      <w:r>
        <w:t xml:space="preserve">Aging applies only to invoices with a positive outstanding balance and is measured in days from due date to “today”. A negative value means not yet due.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Bucket</w:t>
            </w:r>
          </w:p>
        </w:tc>
        <w:tc>
          <w:tcPr>
            <w:tcW w:type="dxa" w:w="4680"/>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Definition</w:t>
            </w:r>
          </w:p>
        </w:tc>
        <w:tc>
          <w:tcPr>
            <w:tcW w:type="dxa" w:w="2621"/>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Severity colour</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Settled</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Balance = 0 (no aging).</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Green</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Not due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Due date in the future (days ≤ 0).</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Neutral</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0–30 days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Up to 30 days past due.</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Amber</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31–60 days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31–60 days past due.</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Amber</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61–90 days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61–90 days past due.</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Red</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90+ days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More than 90 days past due (critical).</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Red</w:t>
            </w:r>
          </w:p>
        </w:tc>
      </w:tr>
    </w:tbl>
    <w:p>
      <w:pPr>
        <w:pStyle w:val="Heading2"/>
      </w:pPr>
      <w:r>
        <w:t xml:space="preserve">4.5 Commission computation engine</w:t>
      </w:r>
    </w:p>
    <w:p>
      <w:pPr>
        <w:spacing w:after="120"/>
      </w:pPr>
      <w:r>
        <w:t xml:space="preserve">This is the heart of the system. When a payment is recorded, accruals are recomputed across all payments. For each payment P on an invoice of total T, define the paid fraction f = P / T. Then for every invoice line (which bills a known amount of one order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Quantity</w:t>
            </w:r>
          </w:p>
        </w:tc>
        <w:tc>
          <w:tcPr>
            <w:tcW w:type="dxa" w:w="617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Formula</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Paid fraction</w:t>
            </w:r>
          </w:p>
        </w:tc>
        <w:tc>
          <w:tcPr>
            <w:tcW w:type="dxa" w:w="617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 = payment.amount / invoice.amount</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Apportioned paid (basis)</w:t>
            </w:r>
          </w:p>
        </w:tc>
        <w:tc>
          <w:tcPr>
            <w:tcW w:type="dxa" w:w="617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invoiceLine.amount × f</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 percent</w:t>
            </w:r>
          </w:p>
        </w:tc>
        <w:tc>
          <w:tcPr>
            <w:tcW w:type="dxa" w:w="617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basis × (rate / 100)</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 fixed</w:t>
            </w:r>
          </w:p>
        </w:tc>
        <w:tc>
          <w:tcPr>
            <w:tcW w:type="dxa" w:w="617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fixedValue × (invoiceLine.amount / orderLineAmount) × f</w:t>
            </w:r>
          </w:p>
        </w:tc>
      </w:tr>
    </w:tbl>
    <w:p>
      <w:pPr>
        <w:spacing w:after="120"/>
      </w:pPr>
      <w:r>
        <w:t xml:space="preserve">Notes on the engine:</w:t>
      </w:r>
    </w:p>
    <w:p>
      <w:pPr>
        <w:pStyle w:val="ListParagraph"/>
        <w:numPr>
          <w:ilvl w:val="0"/>
          <w:numId w:val="2"/>
        </w:numPr>
        <w:spacing w:after="40"/>
      </w:pPr>
      <w:r>
        <w:t xml:space="preserve">Commission terms are read from the originating order line (authoritative source); the invoice merely references which order line and how much it bills.</w:t>
      </w:r>
    </w:p>
    <w:p>
      <w:pPr>
        <w:pStyle w:val="ListParagraph"/>
        <w:numPr>
          <w:ilvl w:val="0"/>
          <w:numId w:val="2"/>
        </w:numPr>
        <w:spacing w:after="40"/>
      </w:pPr>
      <w:r>
        <w:t xml:space="preserve">Fixed commission is the full commission for an order line when its full line value is billed and paid; it is pro-rated by both the billed fraction and the paid fraction.</w:t>
      </w:r>
    </w:p>
    <w:p>
      <w:pPr>
        <w:pStyle w:val="ListParagraph"/>
        <w:numPr>
          <w:ilvl w:val="0"/>
          <w:numId w:val="2"/>
        </w:numPr>
        <w:spacing w:after="40"/>
      </w:pPr>
      <w:r>
        <w:t xml:space="preserve">One accrual is emitted per (payment, order line), with id “{paymentId}#{orderLineId}”.</w:t>
      </w:r>
    </w:p>
    <w:p>
      <w:pPr>
        <w:pStyle w:val="ListParagraph"/>
        <w:numPr>
          <w:ilvl w:val="0"/>
          <w:numId w:val="2"/>
        </w:numPr>
        <w:spacing w:after="40"/>
      </w:pPr>
      <w:r>
        <w:t xml:space="preserve">Partial payments produce partial commission; an order’s commission reaches its full potential only when all its invoices are fully paid.</w:t>
      </w:r>
    </w:p>
    <w:p>
      <w:pPr>
        <w:spacing w:after="120"/>
      </w:pPr>
      <w:r>
        <w:t xml:space="preserve">Worked examples appear in Appendix B.</w:t>
      </w:r>
    </w:p>
    <w:p>
      <w:pPr>
        <w:pStyle w:val="Heading2"/>
      </w:pPr>
      <w:r>
        <w:t xml:space="preserve">4.6 Many-to-many allocation</w:t>
      </w:r>
    </w:p>
    <w:p>
      <w:pPr>
        <w:spacing w:after="120"/>
      </w:pPr>
      <w:r>
        <w:t xml:space="preserve">An invoice line carries { orderId, orderLineId, amount }. Bundling several orders on one invoice = several invoice lines referencing different orders. Splitting one order across invoices = invoice lines on different invoices referencing the same order line with partial amounts. The derived relationships are: invoicesForOrder(orderId) and ordersForInvoice(invoice).</w:t>
      </w:r>
    </w:p>
    <w:p>
      <w:pPr>
        <w:pStyle w:val="Heading2"/>
      </w:pPr>
      <w:r>
        <w:t xml:space="preserve">4.7 Fulfilment → invoicing rule</w:t>
      </w:r>
    </w:p>
    <w:p>
      <w:pPr>
        <w:spacing w:after="120"/>
      </w:pPr>
      <w:r>
        <w:t xml:space="preserve">Updating fulfilment is the only way fulfilment increases, and it always raises an invoice for the newly-fulfilled value:</w:t>
      </w:r>
    </w:p>
    <w:p>
      <w:pPr>
        <w:pStyle w:val="ListParagraph"/>
        <w:numPr>
          <w:ilvl w:val="0"/>
          <w:numId w:val="3"/>
        </w:numPr>
        <w:spacing w:after="40"/>
      </w:pPr>
      <w:r>
        <w:t xml:space="preserve">User enters “fulfil now” quantities per line, each capped at that line’s pending quantity.</w:t>
      </w:r>
    </w:p>
    <w:p>
      <w:pPr>
        <w:pStyle w:val="ListParagraph"/>
        <w:numPr>
          <w:ilvl w:val="0"/>
          <w:numId w:val="3"/>
        </w:numPr>
        <w:spacing w:after="40"/>
      </w:pPr>
      <w:r>
        <w:t xml:space="preserve">User provides invoice details: invoice number (required), invoice date; due date auto-derives from the customer’s credit terms.</w:t>
      </w:r>
    </w:p>
    <w:p>
      <w:pPr>
        <w:pStyle w:val="ListParagraph"/>
        <w:numPr>
          <w:ilvl w:val="0"/>
          <w:numId w:val="3"/>
        </w:numPr>
        <w:spacing w:after="40"/>
      </w:pPr>
      <w:r>
        <w:t xml:space="preserve">On submit, atomically: (a) each line’s qtyFulfilled increases by the entered amount; (b) a new invoice is created whose lines bill exactly the newly-fulfilled value (amount = nowQty × rate), referencing the order lines, with commission inherited.</w:t>
      </w:r>
    </w:p>
    <w:p>
      <w:pPr>
        <w:pStyle w:val="ListParagraph"/>
        <w:numPr>
          <w:ilvl w:val="0"/>
          <w:numId w:val="3"/>
        </w:numPr>
        <w:spacing w:after="40"/>
      </w:pPr>
      <w:r>
        <w:t xml:space="preserve">Order status recomputes; the user lands on the new invoice, where recording a payment will accrue commission.</w:t>
      </w:r>
    </w:p>
    <w:p>
      <w:pPr>
        <w:pStyle w:val="Heading2"/>
      </w:pPr>
      <w:r>
        <w:t xml:space="preserve">4.8 Settlement logic</w:t>
      </w:r>
    </w:p>
    <w:p>
      <w:pPr>
        <w:pStyle w:val="ListParagraph"/>
        <w:numPr>
          <w:ilvl w:val="0"/>
          <w:numId w:val="2"/>
        </w:numPr>
        <w:spacing w:after="40"/>
      </w:pPr>
      <w:r>
        <w:t xml:space="preserve">An Earned accrual can be settled by recording a settlement { date, reference }; this writes to the settlements map under the accrual id and flips status to Settled.</w:t>
      </w:r>
    </w:p>
    <w:p>
      <w:pPr>
        <w:pStyle w:val="ListParagraph"/>
        <w:numPr>
          <w:ilvl w:val="0"/>
          <w:numId w:val="2"/>
        </w:numPr>
        <w:spacing w:after="40"/>
      </w:pPr>
      <w:r>
        <w:t xml:space="preserve">Multiple Earned accruals may be settled together (bulk) — a manufacturer often settles several at once.</w:t>
      </w:r>
    </w:p>
    <w:p>
      <w:pPr>
        <w:pStyle w:val="ListParagraph"/>
        <w:numPr>
          <w:ilvl w:val="0"/>
          <w:numId w:val="2"/>
        </w:numPr>
        <w:spacing w:after="40"/>
      </w:pPr>
      <w:r>
        <w:t xml:space="preserve">A settlement can be edited or cleared (Mark unsettled), removing the map entry and reverting to Earned.</w:t>
      </w:r>
    </w:p>
    <w:p>
      <w:pPr>
        <w:pStyle w:val="Heading2"/>
      </w:pPr>
      <w:r>
        <w:t xml:space="preserve">4.9 ID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Entity</w:t>
            </w:r>
          </w:p>
        </w:tc>
        <w:tc>
          <w:tcPr>
            <w:tcW w:type="dxa" w:w="655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Rule</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 + (max numeric existing id + 1), starting from 1000.</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Payment</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 + (max numeric existing id + 1), starting from 5000.</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Customer / Manufacturer</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“C”/“M” + (max numeric + 1), no padding.</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Item</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“IT-” + (max numeric + 1), zero-padded to 2 digits.</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User-entered invoice number (manufacturer reference); must be provided.</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line</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“{orderId}-L{n}”.</w:t>
            </w:r>
          </w:p>
        </w:tc>
      </w:tr>
      <w:tr>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Accrual</w:t>
            </w:r>
          </w:p>
        </w:tc>
        <w:tc>
          <w:tcPr>
            <w:tcW w:type="dxa" w:w="655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“{paymentId}#{orderLineId}” (composite, deterministic).</w:t>
            </w:r>
          </w:p>
        </w:tc>
      </w:tr>
    </w:tbl>
    <w:p>
      <w:r>
        <w:br w:type="page"/>
      </w:r>
    </w:p>
    <w:p>
      <w:pPr>
        <w:pStyle w:val="Heading1"/>
      </w:pPr>
      <w:r>
        <w:t xml:space="preserve">5. Functional Requirements</w:t>
      </w:r>
    </w:p>
    <w:p>
      <w:pPr>
        <w:pStyle w:val="Heading2"/>
      </w:pPr>
      <w:r>
        <w:t xml:space="preserve">5.1 Global layout &amp; navigation</w:t>
      </w:r>
    </w:p>
    <w:p>
      <w:pPr>
        <w:pStyle w:val="ListParagraph"/>
        <w:numPr>
          <w:ilvl w:val="0"/>
          <w:numId w:val="2"/>
        </w:numPr>
        <w:spacing w:after="40"/>
      </w:pPr>
      <w:r>
        <w:t xml:space="preserve">Left sidebar (dark) with brand “PrismBridge” + tagline, then nav links: Dashboard; section “Modules” → Orders, Payments, Commissions; section “Masters” → Customers, Manufacturers, Items. Active link highlighted.</w:t>
      </w:r>
    </w:p>
    <w:p>
      <w:pPr>
        <w:pStyle w:val="ListParagraph"/>
        <w:numPr>
          <w:ilvl w:val="0"/>
          <w:numId w:val="2"/>
        </w:numPr>
        <w:spacing w:after="40"/>
      </w:pPr>
      <w:r>
        <w:t xml:space="preserve">Top bar per page: optional breadcrumb, page title, and right-aligned action buttons.</w:t>
      </w:r>
    </w:p>
    <w:p>
      <w:pPr>
        <w:pStyle w:val="ListParagraph"/>
        <w:numPr>
          <w:ilvl w:val="0"/>
          <w:numId w:val="2"/>
        </w:numPr>
        <w:spacing w:after="40"/>
      </w:pPr>
      <w:r>
        <w:t xml:space="preserve">Footer on every page: “PrismBridge · v{version} ({stage}) · {build date}” on the left and “Prototype by KRUXIN Global” on the right.</w:t>
      </w:r>
    </w:p>
    <w:p>
      <w:pPr>
        <w:pStyle w:val="ListParagraph"/>
        <w:numPr>
          <w:ilvl w:val="0"/>
          <w:numId w:val="2"/>
        </w:numPr>
        <w:spacing w:after="40"/>
      </w:pPr>
      <w:r>
        <w:t xml:space="preserve">Content area max-width 1180px (1480px on the Commissions list, which opts into a “wide” layout).</w:t>
      </w:r>
    </w:p>
    <w:p>
      <w:pPr>
        <w:pStyle w:val="ListParagraph"/>
        <w:numPr>
          <w:ilvl w:val="0"/>
          <w:numId w:val="2"/>
        </w:numPr>
        <w:spacing w:after="40"/>
      </w:pPr>
      <w:r>
        <w:t xml:space="preserve">Default route “/” = Dashboard; unknown routes redirect to “/”.</w:t>
      </w:r>
    </w:p>
    <w:p>
      <w:pPr>
        <w:pStyle w:val="Heading2"/>
      </w:pPr>
      <w:r>
        <w:t xml:space="preserve">5.2 Dashboard (route “/”)</w:t>
      </w:r>
    </w:p>
    <w:p>
      <w:pPr>
        <w:spacing w:after="120"/>
      </w:pPr>
      <w:r>
        <w:t xml:space="preserve">Read-only overview. KPI tiles: Total Orders, Open Orders, Total Outstanding, Overdue Outstanding, Commission Earned, Pending Settlement.</w:t>
      </w:r>
    </w:p>
    <w:p>
      <w:pPr>
        <w:pStyle w:val="ListParagraph"/>
        <w:numPr>
          <w:ilvl w:val="0"/>
          <w:numId w:val="2"/>
        </w:numPr>
        <w:spacing w:after="40"/>
      </w:pPr>
      <w:r>
        <w:t xml:space="preserve">Chart — Commission earned by manufacturer (horizontal bars).</w:t>
      </w:r>
    </w:p>
    <w:p>
      <w:pPr>
        <w:pStyle w:val="ListParagraph"/>
        <w:numPr>
          <w:ilvl w:val="0"/>
          <w:numId w:val="2"/>
        </w:numPr>
        <w:spacing w:after="40"/>
      </w:pPr>
      <w:r>
        <w:t xml:space="preserve">Chart — Collection status donut (Received vs Outstanding, with collected % in centre).</w:t>
      </w:r>
    </w:p>
    <w:p>
      <w:pPr>
        <w:pStyle w:val="ListParagraph"/>
        <w:numPr>
          <w:ilvl w:val="0"/>
          <w:numId w:val="2"/>
        </w:numPr>
        <w:spacing w:after="40"/>
      </w:pPr>
      <w:r>
        <w:t xml:space="preserve">Chart — Outstanding by aging bucket (horizontal bars, severity-coloured).</w:t>
      </w:r>
    </w:p>
    <w:p>
      <w:pPr>
        <w:pStyle w:val="ListParagraph"/>
        <w:numPr>
          <w:ilvl w:val="0"/>
          <w:numId w:val="2"/>
        </w:numPr>
        <w:spacing w:after="40"/>
      </w:pPr>
      <w:r>
        <w:t xml:space="preserve">List — Overdue invoices (top 6 by days overdue) → click to invoice detail.</w:t>
      </w:r>
    </w:p>
    <w:p>
      <w:pPr>
        <w:pStyle w:val="ListParagraph"/>
        <w:numPr>
          <w:ilvl w:val="0"/>
          <w:numId w:val="2"/>
        </w:numPr>
        <w:spacing w:after="40"/>
      </w:pPr>
      <w:r>
        <w:t xml:space="preserve">List — Recent payments (latest 6) → click to invoice detail.</w:t>
      </w:r>
    </w:p>
    <w:p>
      <w:pPr>
        <w:spacing w:after="120"/>
      </w:pPr>
      <w:r>
        <w:t xml:space="preserve">All charts are dependency-free inline SVG.</w:t>
      </w:r>
    </w:p>
    <w:p>
      <w:pPr>
        <w:pStyle w:val="Heading2"/>
      </w:pPr>
      <w:r>
        <w:t xml:space="preserve">5.3 Orders module</w:t>
      </w:r>
    </w:p>
    <w:p>
      <w:pPr>
        <w:pStyle w:val="Heading3"/>
      </w:pPr>
      <w:r>
        <w:t xml:space="preserve">5.3.1 Order list (“/orders”)</w:t>
      </w:r>
    </w:p>
    <w:p>
      <w:pPr>
        <w:pStyle w:val="ListParagraph"/>
        <w:numPr>
          <w:ilvl w:val="0"/>
          <w:numId w:val="2"/>
        </w:numPr>
        <w:spacing w:after="40"/>
      </w:pPr>
      <w:r>
        <w:t xml:space="preserve">KPI tiles (count-only, recalculated from the filtered rows): Total Orders, New, Partially Fulfilled, Completed.</w:t>
      </w:r>
    </w:p>
    <w:p>
      <w:pPr>
        <w:pStyle w:val="ListParagraph"/>
        <w:numPr>
          <w:ilvl w:val="0"/>
          <w:numId w:val="2"/>
        </w:numPr>
        <w:spacing w:after="40"/>
      </w:pPr>
      <w:r>
        <w:t xml:space="preserve">Filters: Status; Manufacturer; Customer; Invoicing (All / Invoiced / Not invoiced); free-text Search (order id, customer, manufacturer). A “Clear filters” button appears when any filter is active.</w:t>
      </w:r>
    </w:p>
    <w:p>
      <w:pPr>
        <w:pStyle w:val="ListParagraph"/>
        <w:numPr>
          <w:ilvl w:val="0"/>
          <w:numId w:val="2"/>
        </w:numPr>
        <w:spacing w:after="40"/>
      </w:pPr>
      <w:r>
        <w:t xml:space="preserve">Columns: Order, Date, Customer, Manufacturer, Lines, Value, Pending (amber when &gt; 0), Invoices, Status. Sorted by date descending. Empty-state row when nothing matches.</w:t>
      </w:r>
    </w:p>
    <w:p>
      <w:pPr>
        <w:pStyle w:val="ListParagraph"/>
        <w:numPr>
          <w:ilvl w:val="0"/>
          <w:numId w:val="2"/>
        </w:numPr>
        <w:spacing w:after="40"/>
      </w:pPr>
      <w:r>
        <w:t xml:space="preserve">Action: “+ New Order”. Row click → Order detail.</w:t>
      </w:r>
    </w:p>
    <w:p>
      <w:pPr>
        <w:pStyle w:val="Heading3"/>
      </w:pPr>
      <w:r>
        <w:t xml:space="preserve">5.3.2 New Order (“/orders/new”)</w:t>
      </w:r>
    </w:p>
    <w:p>
      <w:pPr>
        <w:pStyle w:val="ListParagraph"/>
        <w:numPr>
          <w:ilvl w:val="0"/>
          <w:numId w:val="2"/>
        </w:numPr>
        <w:spacing w:after="40"/>
      </w:pPr>
      <w:r>
        <w:t xml:space="preserve">Header: select Customer and Manufacturer; order date. Selecting a manufacturer prefills each line’s commission from the vendor default.</w:t>
      </w:r>
    </w:p>
    <w:p>
      <w:pPr>
        <w:pStyle w:val="ListParagraph"/>
        <w:numPr>
          <w:ilvl w:val="0"/>
          <w:numId w:val="2"/>
        </w:numPr>
        <w:spacing w:after="40"/>
      </w:pPr>
      <w:r>
        <w:t xml:space="preserve">One or more line items. Each line: optional Item-from-catalog picker (prefills description, unit, rate, commission); fabric description; quantity; unit; rate; computed line amount; commission type (percent/fixed) and value. Add / remove lines.</w:t>
      </w:r>
    </w:p>
    <w:p>
      <w:pPr>
        <w:pStyle w:val="ListParagraph"/>
        <w:numPr>
          <w:ilvl w:val="0"/>
          <w:numId w:val="2"/>
        </w:numPr>
        <w:spacing w:after="40"/>
      </w:pPr>
      <w:r>
        <w:t xml:space="preserve">Validation: customer, manufacturer, and every line (description, qty &gt; 0, rate &gt; 0, commission value present). Live order-total shown.</w:t>
      </w:r>
    </w:p>
    <w:p>
      <w:pPr>
        <w:pStyle w:val="ListParagraph"/>
        <w:numPr>
          <w:ilvl w:val="0"/>
          <w:numId w:val="2"/>
        </w:numPr>
        <w:spacing w:after="40"/>
      </w:pPr>
      <w:r>
        <w:t xml:space="preserve">On save: order created with qtyFulfilled = 0 on every line (status New); navigates to Order detail.</w:t>
      </w:r>
    </w:p>
    <w:p>
      <w:pPr>
        <w:pStyle w:val="Heading3"/>
      </w:pPr>
      <w:r>
        <w:t xml:space="preserve">5.3.3 Order detail (“/orders/:id”)</w:t>
      </w:r>
    </w:p>
    <w:p>
      <w:pPr>
        <w:pStyle w:val="ListParagraph"/>
        <w:numPr>
          <w:ilvl w:val="0"/>
          <w:numId w:val="2"/>
        </w:numPr>
        <w:spacing w:after="40"/>
      </w:pPr>
      <w:r>
        <w:t xml:space="preserve">Header: customer, manufacturer, order date, status, total value, vendor default commission.</w:t>
      </w:r>
    </w:p>
    <w:p>
      <w:pPr>
        <w:pStyle w:val="ListParagraph"/>
        <w:numPr>
          <w:ilvl w:val="0"/>
          <w:numId w:val="2"/>
        </w:numPr>
        <w:spacing w:after="40"/>
      </w:pPr>
      <w:r>
        <w:t xml:space="preserve">Pending banner (amber) for any order with pending value: line count not fully delivered, units pending, total pending value.</w:t>
      </w:r>
    </w:p>
    <w:p>
      <w:pPr>
        <w:pStyle w:val="ListParagraph"/>
        <w:numPr>
          <w:ilvl w:val="0"/>
          <w:numId w:val="2"/>
        </w:numPr>
        <w:spacing w:after="40"/>
      </w:pPr>
      <w:r>
        <w:t xml:space="preserve">Line items table: fabric, ordered, fulfilled, pending (qty), rate, line amount, pending value, commission, line status.</w:t>
      </w:r>
    </w:p>
    <w:p>
      <w:pPr>
        <w:pStyle w:val="ListParagraph"/>
        <w:numPr>
          <w:ilvl w:val="0"/>
          <w:numId w:val="2"/>
        </w:numPr>
        <w:spacing w:after="40"/>
      </w:pPr>
      <w:r>
        <w:t xml:space="preserve">Linked invoices table (many-to-many): invoice, date, billed-from-this-order, invoice total, paid, balance, status → click to invoice detail.</w:t>
      </w:r>
    </w:p>
    <w:p>
      <w:pPr>
        <w:pStyle w:val="ListParagraph"/>
        <w:numPr>
          <w:ilvl w:val="0"/>
          <w:numId w:val="2"/>
        </w:numPr>
        <w:spacing w:after="40"/>
      </w:pPr>
      <w:r>
        <w:t xml:space="preserve">Action “Update Fulfilment” shown only when status ≠ Completed.</w:t>
      </w:r>
    </w:p>
    <w:p>
      <w:pPr>
        <w:pStyle w:val="Heading3"/>
      </w:pPr>
      <w:r>
        <w:t xml:space="preserve">5.3.4 Update Fulfilment (“/orders/:id/fulfil”)</w:t>
      </w:r>
    </w:p>
    <w:p>
      <w:pPr>
        <w:pStyle w:val="ListParagraph"/>
        <w:numPr>
          <w:ilvl w:val="0"/>
          <w:numId w:val="2"/>
        </w:numPr>
        <w:spacing w:after="40"/>
      </w:pPr>
      <w:r>
        <w:t xml:space="preserve">Blocked with a message if the order is already Completed.</w:t>
      </w:r>
    </w:p>
    <w:p>
      <w:pPr>
        <w:pStyle w:val="ListParagraph"/>
        <w:numPr>
          <w:ilvl w:val="0"/>
          <w:numId w:val="2"/>
        </w:numPr>
        <w:spacing w:after="40"/>
      </w:pPr>
      <w:r>
        <w:t xml:space="preserve">Per line: ordered, already fulfilled, pending, a “fulfil now” input (0..pending), rate, amount to invoice, and the resulting line status preview.</w:t>
      </w:r>
    </w:p>
    <w:p>
      <w:pPr>
        <w:pStyle w:val="ListParagraph"/>
        <w:numPr>
          <w:ilvl w:val="0"/>
          <w:numId w:val="2"/>
        </w:numPr>
        <w:spacing w:after="40"/>
      </w:pPr>
      <w:r>
        <w:t xml:space="preserve">Invoice details (required): invoice number, invoice date; due date auto from customer terms (read-only); manufacturer and customer shown read-only.</w:t>
      </w:r>
    </w:p>
    <w:p>
      <w:pPr>
        <w:pStyle w:val="ListParagraph"/>
        <w:numPr>
          <w:ilvl w:val="0"/>
          <w:numId w:val="2"/>
        </w:numPr>
        <w:spacing w:after="40"/>
      </w:pPr>
      <w:r>
        <w:t xml:space="preserve">A commission-inheritance preview lists each fulfilled line’s invoiced amount and inherited commission term.</w:t>
      </w:r>
    </w:p>
    <w:p>
      <w:pPr>
        <w:pStyle w:val="ListParagraph"/>
        <w:numPr>
          <w:ilvl w:val="0"/>
          <w:numId w:val="2"/>
        </w:numPr>
        <w:spacing w:after="40"/>
      </w:pPr>
      <w:r>
        <w:t xml:space="preserve">On submit: atomic fulfilment update + invoice creation (see 4.7); navigates to the new invoice.</w:t>
      </w:r>
    </w:p>
    <w:p>
      <w:pPr>
        <w:pStyle w:val="Heading2"/>
      </w:pPr>
      <w:r>
        <w:t xml:space="preserve">5.4 Payments module</w:t>
      </w:r>
    </w:p>
    <w:p>
      <w:pPr>
        <w:pStyle w:val="Heading3"/>
      </w:pPr>
      <w:r>
        <w:t xml:space="preserve">5.4.1 Invoice list (“/invoices”)</w:t>
      </w:r>
    </w:p>
    <w:p>
      <w:pPr>
        <w:pStyle w:val="ListParagraph"/>
        <w:numPr>
          <w:ilvl w:val="0"/>
          <w:numId w:val="2"/>
        </w:numPr>
        <w:spacing w:after="40"/>
      </w:pPr>
      <w:r>
        <w:t xml:space="preserve">Outstanding summary tiles that recalculate with the filters: Total Invoiced, Total Received, Total Outstanding, Overdue Outstanding.</w:t>
      </w:r>
    </w:p>
    <w:p>
      <w:pPr>
        <w:pStyle w:val="ListParagraph"/>
        <w:numPr>
          <w:ilvl w:val="0"/>
          <w:numId w:val="2"/>
        </w:numPr>
        <w:spacing w:after="40"/>
      </w:pPr>
      <w:r>
        <w:t xml:space="preserve">Filters (default to open exposure): Manufacturer; Customer; Status (default “Open = New + Partially Paid”, plus New / Partially Paid / Paid / All). Sort by aging (default), outstanding, invoice date, due date, invoice amount, manufacturer or customer; ascending/descending.</w:t>
      </w:r>
    </w:p>
    <w:p>
      <w:pPr>
        <w:pStyle w:val="ListParagraph"/>
        <w:numPr>
          <w:ilvl w:val="0"/>
          <w:numId w:val="2"/>
        </w:numPr>
        <w:spacing w:after="40"/>
      </w:pPr>
      <w:r>
        <w:t xml:space="preserve">Columns: Invoice, Manufacturer, Customer, Due, Amount, Outstanding, Aging (badge with days), Status. Row click → invoice detail.</w:t>
      </w:r>
    </w:p>
    <w:p>
      <w:pPr>
        <w:pStyle w:val="ListParagraph"/>
        <w:numPr>
          <w:ilvl w:val="0"/>
          <w:numId w:val="2"/>
        </w:numPr>
        <w:spacing w:after="40"/>
      </w:pPr>
      <w:r>
        <w:t xml:space="preserve">Action: “+ Add Invoice”.</w:t>
      </w:r>
    </w:p>
    <w:p>
      <w:pPr>
        <w:pStyle w:val="Heading3"/>
      </w:pPr>
      <w:r>
        <w:t xml:space="preserve">5.4.2 Add Invoice (“/invoices/new”)</w:t>
      </w:r>
    </w:p>
    <w:p>
      <w:pPr>
        <w:pStyle w:val="ListParagraph"/>
        <w:numPr>
          <w:ilvl w:val="0"/>
          <w:numId w:val="2"/>
        </w:numPr>
        <w:spacing w:after="40"/>
      </w:pPr>
      <w:r>
        <w:t xml:space="preserve">Select manufacturer and customer; enter invoice number; invoice date; due date auto from customer terms.</w:t>
      </w:r>
    </w:p>
    <w:p>
      <w:pPr>
        <w:pStyle w:val="ListParagraph"/>
        <w:numPr>
          <w:ilvl w:val="0"/>
          <w:numId w:val="2"/>
        </w:numPr>
        <w:spacing w:after="40"/>
      </w:pPr>
      <w:r>
        <w:t xml:space="preserve">Eligible order lines = lines of orders matching the chosen manufacturer + customer. Each row shows already-billed and remaining; user ticks lines and sets the bill-now amount (defaulting to remaining).</w:t>
      </w:r>
    </w:p>
    <w:p>
      <w:pPr>
        <w:pStyle w:val="ListParagraph"/>
        <w:numPr>
          <w:ilvl w:val="0"/>
          <w:numId w:val="2"/>
        </w:numPr>
        <w:spacing w:after="40"/>
      </w:pPr>
      <w:r>
        <w:t xml:space="preserve">Commission is inherited from the order line (shown, not re-entered). Invoice total = Σ selected amounts.</w:t>
      </w:r>
    </w:p>
    <w:p>
      <w:pPr>
        <w:pStyle w:val="ListParagraph"/>
        <w:numPr>
          <w:ilvl w:val="0"/>
          <w:numId w:val="2"/>
        </w:numPr>
        <w:spacing w:after="40"/>
      </w:pPr>
      <w:r>
        <w:t xml:space="preserve">On save: invoice created (can bundle multiple orders); navigates to invoice detail.</w:t>
      </w:r>
    </w:p>
    <w:p>
      <w:pPr>
        <w:pStyle w:val="Heading3"/>
      </w:pPr>
      <w:r>
        <w:t xml:space="preserve">5.4.3 Invoice detail (“/invoices/:id”)</w:t>
      </w:r>
    </w:p>
    <w:p>
      <w:pPr>
        <w:pStyle w:val="ListParagraph"/>
        <w:numPr>
          <w:ilvl w:val="0"/>
          <w:numId w:val="2"/>
        </w:numPr>
        <w:spacing w:after="40"/>
      </w:pPr>
      <w:r>
        <w:t xml:space="preserve">Header: manufacturer, customer, dates, amount, paid, balance, status, aging.</w:t>
      </w:r>
    </w:p>
    <w:p>
      <w:pPr>
        <w:pStyle w:val="ListParagraph"/>
        <w:numPr>
          <w:ilvl w:val="0"/>
          <w:numId w:val="2"/>
        </w:numPr>
        <w:spacing w:after="40"/>
      </w:pPr>
      <w:r>
        <w:t xml:space="preserve">Linked orders table (the invoice lines) → click to order.</w:t>
      </w:r>
    </w:p>
    <w:p>
      <w:pPr>
        <w:pStyle w:val="ListParagraph"/>
        <w:numPr>
          <w:ilvl w:val="0"/>
          <w:numId w:val="2"/>
        </w:numPr>
        <w:spacing w:after="40"/>
      </w:pPr>
      <w:r>
        <w:t xml:space="preserve">Payment history table.</w:t>
      </w:r>
    </w:p>
    <w:p>
      <w:pPr>
        <w:pStyle w:val="ListParagraph"/>
        <w:numPr>
          <w:ilvl w:val="0"/>
          <w:numId w:val="2"/>
        </w:numPr>
        <w:spacing w:after="40"/>
      </w:pPr>
      <w:r>
        <w:t xml:space="preserve">Commission generated by this invoice’s payments → click to commission detail.</w:t>
      </w:r>
    </w:p>
    <w:p>
      <w:pPr>
        <w:pStyle w:val="ListParagraph"/>
        <w:numPr>
          <w:ilvl w:val="0"/>
          <w:numId w:val="2"/>
        </w:numPr>
        <w:spacing w:after="40"/>
      </w:pPr>
      <w:r>
        <w:t xml:space="preserve">Action “+ Record Payment” (disabled when balance = 0): modal capturing amount (defaulting to balance, capped at it), date, mode, reference. Recording triggers accrual.</w:t>
      </w:r>
    </w:p>
    <w:p>
      <w:pPr>
        <w:pStyle w:val="Heading2"/>
      </w:pPr>
      <w:r>
        <w:t xml:space="preserve">5.5 Commissions module</w:t>
      </w:r>
    </w:p>
    <w:p>
      <w:pPr>
        <w:pStyle w:val="Heading3"/>
      </w:pPr>
      <w:r>
        <w:t xml:space="preserve">5.5.1 Commission list (“/commissions”, wide layout)</w:t>
      </w:r>
    </w:p>
    <w:p>
      <w:pPr>
        <w:pStyle w:val="ListParagraph"/>
        <w:numPr>
          <w:ilvl w:val="0"/>
          <w:numId w:val="2"/>
        </w:numPr>
        <w:spacing w:after="40"/>
      </w:pPr>
      <w:r>
        <w:t xml:space="preserve">KPI tiles, filter-aware: Total Commission Earned, Settled by Manufacturer, Pending Settlement, Accruals (count).</w:t>
      </w:r>
    </w:p>
    <w:p>
      <w:pPr>
        <w:pStyle w:val="ListParagraph"/>
        <w:numPr>
          <w:ilvl w:val="0"/>
          <w:numId w:val="2"/>
        </w:numPr>
        <w:spacing w:after="40"/>
      </w:pPr>
      <w:r>
        <w:t xml:space="preserve">Filters: Manufacturer; Status (All / Earned / Settled).</w:t>
      </w:r>
    </w:p>
    <w:p>
      <w:pPr>
        <w:pStyle w:val="ListParagraph"/>
        <w:numPr>
          <w:ilvl w:val="0"/>
          <w:numId w:val="2"/>
        </w:numPr>
        <w:spacing w:after="40"/>
      </w:pPr>
      <w:r>
        <w:t xml:space="preserve">Clean row-wise layout with integrated columns: select checkbox (Earned rows only); Commission (id + date); From → To (manufacturer → customer); Source chain (payment · invoice · order, plus basis &amp; term); Earned (prominent); Status &amp; settlement (badge + date/reference when settled).</w:t>
      </w:r>
    </w:p>
    <w:p>
      <w:pPr>
        <w:pStyle w:val="ListParagraph"/>
        <w:numPr>
          <w:ilvl w:val="0"/>
          <w:numId w:val="2"/>
        </w:numPr>
        <w:spacing w:after="40"/>
      </w:pPr>
      <w:r>
        <w:t xml:space="preserve">Bulk settle: select one or more Earned rows; a “Record Settlement (N)” action appears in the top bar showing the selected total; opens the settlement modal and settles all selected at once.</w:t>
      </w:r>
    </w:p>
    <w:p>
      <w:pPr>
        <w:pStyle w:val="Heading3"/>
      </w:pPr>
      <w:r>
        <w:t xml:space="preserve">5.5.2 Commission detail (“/commissions/:id”)</w:t>
      </w:r>
    </w:p>
    <w:p>
      <w:pPr>
        <w:pStyle w:val="ListParagraph"/>
        <w:numPr>
          <w:ilvl w:val="0"/>
          <w:numId w:val="2"/>
        </w:numPr>
        <w:spacing w:after="40"/>
      </w:pPr>
      <w:r>
        <w:t xml:space="preserve">Traceability chain band: Customer (payer) → Payment → Invoice → Order/line → Manufacturer (source).</w:t>
      </w:r>
    </w:p>
    <w:p>
      <w:pPr>
        <w:pStyle w:val="ListParagraph"/>
        <w:numPr>
          <w:ilvl w:val="0"/>
          <w:numId w:val="2"/>
        </w:numPr>
        <w:spacing w:after="40"/>
      </w:pPr>
      <w:r>
        <w:t xml:space="preserve">Cards: Payment; Invoice (with link); Order &amp; line (with link); Commission computation (basis, type, rate/value, earned).</w:t>
      </w:r>
    </w:p>
    <w:p>
      <w:pPr>
        <w:pStyle w:val="ListParagraph"/>
        <w:numPr>
          <w:ilvl w:val="0"/>
          <w:numId w:val="2"/>
        </w:numPr>
        <w:spacing w:after="40"/>
      </w:pPr>
      <w:r>
        <w:t xml:space="preserve">Settlement section: if Earned, shows pending amount and “Record Settlement”; if Settled, shows settled amount, date, reference with “Edit” and “Mark unsettled”.</w:t>
      </w:r>
    </w:p>
    <w:p>
      <w:pPr>
        <w:pStyle w:val="Heading2"/>
      </w:pPr>
      <w:r>
        <w:t xml:space="preserve">5.6 Masters</w:t>
      </w:r>
    </w:p>
    <w:p>
      <w:pPr>
        <w:pStyle w:val="ListParagraph"/>
        <w:numPr>
          <w:ilvl w:val="0"/>
          <w:numId w:val="2"/>
        </w:numPr>
        <w:spacing w:after="40"/>
      </w:pPr>
      <w:r>
        <w:t xml:space="preserve">Sub-tabbed section (“/masters” → redirects to Customers): Customers, Manufacturers, Items. Each is a list with an add action and per-row Edit, both via a modal.</w:t>
      </w:r>
    </w:p>
    <w:p>
      <w:pPr>
        <w:pStyle w:val="ListParagraph"/>
        <w:numPr>
          <w:ilvl w:val="0"/>
          <w:numId w:val="2"/>
        </w:numPr>
        <w:spacing w:after="40"/>
      </w:pPr>
      <w:r>
        <w:rPr>
          <w:b/>
          <w:bCs/>
        </w:rPr>
        <w:t xml:space="preserve">Customers: </w:t>
      </w:r>
      <w:r>
        <w:t xml:space="preserve">name, contact, location, default credit terms (days). </w:t>
      </w:r>
    </w:p>
    <w:p>
      <w:pPr>
        <w:pStyle w:val="ListParagraph"/>
        <w:numPr>
          <w:ilvl w:val="0"/>
          <w:numId w:val="2"/>
        </w:numPr>
        <w:spacing w:after="40"/>
      </w:pPr>
      <w:r>
        <w:rPr>
          <w:b/>
          <w:bCs/>
        </w:rPr>
        <w:t xml:space="preserve">Manufacturers: </w:t>
      </w:r>
      <w:r>
        <w:t xml:space="preserve">name, contact, location, default commission (type + value).</w:t>
      </w:r>
    </w:p>
    <w:p>
      <w:pPr>
        <w:pStyle w:val="ListParagraph"/>
        <w:numPr>
          <w:ilvl w:val="0"/>
          <w:numId w:val="2"/>
        </w:numPr>
        <w:spacing w:after="40"/>
      </w:pPr>
      <w:r>
        <w:rPr>
          <w:b/>
          <w:bCs/>
        </w:rPr>
        <w:t xml:space="preserve">Items: </w:t>
      </w:r>
      <w:r>
        <w:t xml:space="preserve">fabric name, unit, default rate, default commission. Feeds the New Order line picker.</w:t>
      </w:r>
    </w:p>
    <w:p>
      <w:r>
        <w:br w:type="page"/>
      </w: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Area</w:t>
            </w:r>
          </w:p>
        </w:tc>
        <w:tc>
          <w:tcPr>
            <w:tcW w:type="dxa" w:w="7301"/>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Requirement</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Platform</w:t>
            </w:r>
          </w:p>
        </w:tc>
        <w:tc>
          <w:tcPr>
            <w:tcW w:type="dxa" w:w="730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Responsive single-page web application; usable on desktop and tablet widths (layout collapses to single column below ~900px).</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Browsers</w:t>
            </w:r>
          </w:p>
        </w:tc>
        <w:tc>
          <w:tcPr>
            <w:tcW w:type="dxa" w:w="730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Current Chrome, Edge, Firefox, Safari.</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Performance</w:t>
            </w:r>
          </w:p>
        </w:tc>
        <w:tc>
          <w:tcPr>
            <w:tcW w:type="dxa" w:w="730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All computation is client-side over in-memory data; screens render instantly for the seeded data volume. Commission accruals recompute on each render via memoised selectors.</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Persistence</w:t>
            </w:r>
          </w:p>
        </w:tc>
        <w:tc>
          <w:tcPr>
            <w:tcW w:type="dxa" w:w="730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None in this build — data lives in React state for the session and resets on reload. Browser storage APIs are intentionally not used. A production build would add a backend/database.</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Usability</w:t>
            </w:r>
          </w:p>
        </w:tc>
        <w:tc>
          <w:tcPr>
            <w:tcW w:type="dxa" w:w="730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Consistent tiles/badges/tables; filter-aware KPIs; click-through traceability between every related record.</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Localisation</w:t>
            </w:r>
          </w:p>
        </w:tc>
        <w:tc>
          <w:tcPr>
            <w:tcW w:type="dxa" w:w="730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INR currency formatting (en-IN); dates shown as “DD Mon YYYY”.</w:t>
            </w:r>
          </w:p>
        </w:tc>
      </w:tr>
      <w:tr>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Branding</w:t>
            </w:r>
          </w:p>
        </w:tc>
        <w:tc>
          <w:tcPr>
            <w:tcW w:type="dxa" w:w="730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PrismBridge identity and KRUXIN Global footnote on every screen.</w:t>
            </w:r>
          </w:p>
        </w:tc>
      </w:tr>
    </w:tbl>
    <w:p>
      <w:r>
        <w:br w:type="page"/>
      </w:r>
    </w:p>
    <w:p>
      <w:pPr>
        <w:pStyle w:val="Heading1"/>
      </w:pPr>
      <w:r>
        <w:t xml:space="preserve">7. UI &amp; Visual Design</w:t>
      </w:r>
    </w:p>
    <w:p>
      <w:pPr>
        <w:pStyle w:val="Heading2"/>
      </w:pPr>
      <w:r>
        <w:t xml:space="preserve">7.1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4306"/>
      </w:tblGrid>
      <w:tr>
        <w:trPr>
          <w:tblHeader/>
        </w:trPr>
        <w:tc>
          <w:tcPr>
            <w:tcW w:type="dxa" w:w="224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Token</w:t>
            </w:r>
          </w:p>
        </w:tc>
        <w:tc>
          <w:tcPr>
            <w:tcW w:type="dxa" w:w="280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Value</w:t>
            </w:r>
          </w:p>
        </w:tc>
        <w:tc>
          <w:tcPr>
            <w:tcW w:type="dxa" w:w="430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Use</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Primary</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#4F46E5 (indigo)</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Buttons, links, active nav, accents.</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Surface / background</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#FFFFFF / #F5F6F8</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Cards / page.</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Text / muted</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#1D2433 / #69707D</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Body / secondary.</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Green</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#0F9D58</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Paid / Completed / Settled / received.</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Amber</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#C77700</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Partial / pending / open.</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Red</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#D23B3B</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Overdue / critical / pending value.</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Sidebar</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#111827</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Dark navigation rail.</w:t>
            </w:r>
          </w:p>
        </w:tc>
      </w:tr>
      <w:tr>
        <w:tc>
          <w:tcPr>
            <w:tcW w:type="dxa" w:w="224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Radius / shadow</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10px / subtle</w:t>
            </w:r>
          </w:p>
        </w:tc>
        <w:tc>
          <w:tcPr>
            <w:tcW w:type="dxa" w:w="430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Cards and tiles.</w:t>
            </w:r>
          </w:p>
        </w:tc>
      </w:tr>
    </w:tbl>
    <w:p>
      <w:pPr>
        <w:pStyle w:val="Heading2"/>
      </w:pPr>
      <w:r>
        <w:t xml:space="preserve">7.2 Components</w:t>
      </w:r>
    </w:p>
    <w:p>
      <w:pPr>
        <w:pStyle w:val="ListParagraph"/>
        <w:numPr>
          <w:ilvl w:val="0"/>
          <w:numId w:val="2"/>
        </w:numPr>
        <w:spacing w:after="40"/>
      </w:pPr>
      <w:r>
        <w:t xml:space="preserve">KPI Tile: label + large value, optional accent colour.</w:t>
      </w:r>
    </w:p>
    <w:p>
      <w:pPr>
        <w:pStyle w:val="ListParagraph"/>
        <w:numPr>
          <w:ilvl w:val="0"/>
          <w:numId w:val="2"/>
        </w:numPr>
        <w:spacing w:after="40"/>
      </w:pPr>
      <w:r>
        <w:t xml:space="preserve">Status badge: pill with dot; colour mapped by status (New=neutral, Partial=amber, Completed/Paid/Settled=green, Earned=indigo, critical aging=red).</w:t>
      </w:r>
    </w:p>
    <w:p>
      <w:pPr>
        <w:pStyle w:val="ListParagraph"/>
        <w:numPr>
          <w:ilvl w:val="0"/>
          <w:numId w:val="2"/>
        </w:numPr>
        <w:spacing w:after="40"/>
      </w:pPr>
      <w:r>
        <w:t xml:space="preserve">Aging badge: bucket label + days overdue.</w:t>
      </w:r>
    </w:p>
    <w:p>
      <w:pPr>
        <w:pStyle w:val="ListParagraph"/>
        <w:numPr>
          <w:ilvl w:val="0"/>
          <w:numId w:val="2"/>
        </w:numPr>
        <w:spacing w:after="40"/>
      </w:pPr>
      <w:r>
        <w:t xml:space="preserve">Tables: light header row, hover highlight on clickable rows, right-aligned numeric columns (tabular figures).</w:t>
      </w:r>
    </w:p>
    <w:p>
      <w:pPr>
        <w:pStyle w:val="ListParagraph"/>
        <w:numPr>
          <w:ilvl w:val="0"/>
          <w:numId w:val="2"/>
        </w:numPr>
        <w:spacing w:after="40"/>
      </w:pPr>
      <w:r>
        <w:t xml:space="preserve">Modal: title, body, Cancel + primary action; used for Record Payment and all Masters add/edit and settlements.</w:t>
      </w:r>
    </w:p>
    <w:p>
      <w:pPr>
        <w:pStyle w:val="ListParagraph"/>
        <w:numPr>
          <w:ilvl w:val="0"/>
          <w:numId w:val="2"/>
        </w:numPr>
        <w:spacing w:after="40"/>
      </w:pPr>
      <w:r>
        <w:t xml:space="preserve">Charts: inline SVG horizontal bar chart and donut.</w:t>
      </w:r>
    </w:p>
    <w:p>
      <w:pPr>
        <w:pStyle w:val="ListParagraph"/>
        <w:numPr>
          <w:ilvl w:val="0"/>
          <w:numId w:val="2"/>
        </w:numPr>
        <w:spacing w:after="40"/>
      </w:pPr>
      <w:r>
        <w:t xml:space="preserve">Typography: Arial/system sans; monospace for IDs and references.</w:t>
      </w:r>
    </w:p>
    <w:p>
      <w:r>
        <w:br w:type="page"/>
      </w:r>
    </w:p>
    <w:p>
      <w:pPr>
        <w:pStyle w:val="Heading1"/>
      </w:pPr>
      <w:r>
        <w:t xml:space="preserve">8. Technical Architecture</w:t>
      </w:r>
    </w:p>
    <w:p>
      <w:pPr>
        <w:pStyle w:val="Heading2"/>
      </w:pPr>
      <w:r>
        <w:t xml:space="preserve">8.1 Stack</w:t>
      </w:r>
    </w:p>
    <w:p>
      <w:pPr>
        <w:pStyle w:val="ListParagraph"/>
        <w:numPr>
          <w:ilvl w:val="0"/>
          <w:numId w:val="2"/>
        </w:numPr>
        <w:spacing w:after="40"/>
      </w:pPr>
      <w:r>
        <w:t xml:space="preserve">React 18 + React Router 6 (client-side routing, BrowserRouter).</w:t>
      </w:r>
    </w:p>
    <w:p>
      <w:pPr>
        <w:pStyle w:val="ListParagraph"/>
        <w:numPr>
          <w:ilvl w:val="0"/>
          <w:numId w:val="2"/>
        </w:numPr>
        <w:spacing w:after="40"/>
      </w:pPr>
      <w:r>
        <w:t xml:space="preserve">Vite 5 build tooling; plain CSS (single stylesheet with CSS variables). No CSS framework, no chart library.</w:t>
      </w:r>
    </w:p>
    <w:p>
      <w:pPr>
        <w:pStyle w:val="ListParagraph"/>
        <w:numPr>
          <w:ilvl w:val="0"/>
          <w:numId w:val="2"/>
        </w:numPr>
        <w:spacing w:after="40"/>
      </w:pPr>
      <w:r>
        <w:t xml:space="preserve">State via a single React Context store (in-memory). No backend.</w:t>
      </w:r>
    </w:p>
    <w:p>
      <w:pPr>
        <w:pStyle w:val="Heading2"/>
      </w:pPr>
      <w:r>
        <w:t xml:space="preserve">8.2 Project structure</w:t>
      </w:r>
    </w:p>
    <w:p>
      <w:pPr>
        <w:shd w:fill="F3F4F6" w:val="clear"/>
        <w:spacing w:after="120"/>
      </w:pPr>
      <w:r>
        <w:rPr>
          <w:rFonts w:ascii="Consolas" w:cs="Consolas" w:eastAsia="Consolas" w:hAnsi="Consolas"/>
          <w:sz w:val="18"/>
          <w:szCs w:val="18"/>
        </w:rPr>
        <w:t xml:space="preserve">src/</w:t>
      </w:r>
    </w:p>
    <w:p>
      <w:pPr>
        <w:shd w:fill="F3F4F6" w:val="clear"/>
        <w:spacing w:after="120"/>
      </w:pPr>
      <w:r>
        <w:rPr>
          <w:rFonts w:ascii="Consolas" w:cs="Consolas" w:eastAsia="Consolas" w:hAnsi="Consolas"/>
          <w:sz w:val="18"/>
          <w:szCs w:val="18"/>
        </w:rPr>
        <w:t xml:space="preserve">  main.jsx            // bootstraps React, Router, DataProvider</w:t>
      </w:r>
    </w:p>
    <w:p>
      <w:pPr>
        <w:shd w:fill="F3F4F6" w:val="clear"/>
        <w:spacing w:after="120"/>
      </w:pPr>
      <w:r>
        <w:rPr>
          <w:rFonts w:ascii="Consolas" w:cs="Consolas" w:eastAsia="Consolas" w:hAnsi="Consolas"/>
          <w:sz w:val="18"/>
          <w:szCs w:val="18"/>
        </w:rPr>
        <w:t xml:space="preserve">  App.jsx             // route table</w:t>
      </w:r>
    </w:p>
    <w:p>
      <w:pPr>
        <w:shd w:fill="F3F4F6" w:val="clear"/>
        <w:spacing w:after="120"/>
      </w:pPr>
      <w:r>
        <w:rPr>
          <w:rFonts w:ascii="Consolas" w:cs="Consolas" w:eastAsia="Consolas" w:hAnsi="Consolas"/>
          <w:sz w:val="18"/>
          <w:szCs w:val="18"/>
        </w:rPr>
        <w:t xml:space="preserve">  index.css           // design tokens + all styles</w:t>
      </w:r>
    </w:p>
    <w:p>
      <w:pPr>
        <w:shd w:fill="F3F4F6" w:val="clear"/>
        <w:spacing w:after="120"/>
      </w:pPr>
      <w:r>
        <w:rPr>
          <w:rFonts w:ascii="Consolas" w:cs="Consolas" w:eastAsia="Consolas" w:hAnsi="Consolas"/>
          <w:sz w:val="18"/>
          <w:szCs w:val="18"/>
        </w:rPr>
        <w:t xml:space="preserve">  data/seed.js        // seeded master &amp; transactional data</w:t>
      </w:r>
    </w:p>
    <w:p>
      <w:pPr>
        <w:shd w:fill="F3F4F6" w:val="clear"/>
        <w:spacing w:after="120"/>
      </w:pPr>
      <w:r>
        <w:rPr>
          <w:rFonts w:ascii="Consolas" w:cs="Consolas" w:eastAsia="Consolas" w:hAnsi="Consolas"/>
          <w:sz w:val="18"/>
          <w:szCs w:val="18"/>
        </w:rPr>
        <w:t xml:space="preserve">  store/DataContext.jsx // in-memory store + actions + computed accruals</w:t>
      </w:r>
    </w:p>
    <w:p>
      <w:pPr>
        <w:shd w:fill="F3F4F6" w:val="clear"/>
        <w:spacing w:after="120"/>
      </w:pPr>
      <w:r>
        <w:rPr>
          <w:rFonts w:ascii="Consolas" w:cs="Consolas" w:eastAsia="Consolas" w:hAnsi="Consolas"/>
          <w:sz w:val="18"/>
          <w:szCs w:val="18"/>
        </w:rPr>
        <w:t xml:space="preserve">  lib/commission.js   // status, aging, allocation, accrual engine (pure fns)</w:t>
      </w:r>
    </w:p>
    <w:p>
      <w:pPr>
        <w:shd w:fill="F3F4F6" w:val="clear"/>
        <w:spacing w:after="120"/>
      </w:pPr>
      <w:r>
        <w:rPr>
          <w:rFonts w:ascii="Consolas" w:cs="Consolas" w:eastAsia="Consolas" w:hAnsi="Consolas"/>
          <w:sz w:val="18"/>
          <w:szCs w:val="18"/>
        </w:rPr>
        <w:t xml:space="preserve">  lib/format.js       // money/date helpers; fixed "today"</w:t>
      </w:r>
    </w:p>
    <w:p>
      <w:pPr>
        <w:shd w:fill="F3F4F6" w:val="clear"/>
        <w:spacing w:after="120"/>
      </w:pPr>
      <w:r>
        <w:rPr>
          <w:rFonts w:ascii="Consolas" w:cs="Consolas" w:eastAsia="Consolas" w:hAnsi="Consolas"/>
          <w:sz w:val="18"/>
          <w:szCs w:val="18"/>
        </w:rPr>
        <w:t xml:space="preserve">  lib/version.js      // app name, tagline, version, vendor</w:t>
      </w:r>
    </w:p>
    <w:p>
      <w:pPr>
        <w:shd w:fill="F3F4F6" w:val="clear"/>
        <w:spacing w:after="120"/>
      </w:pPr>
      <w:r>
        <w:rPr>
          <w:rFonts w:ascii="Consolas" w:cs="Consolas" w:eastAsia="Consolas" w:hAnsi="Consolas"/>
          <w:sz w:val="18"/>
          <w:szCs w:val="18"/>
        </w:rPr>
        <w:t xml:space="preserve">  components/         // Layout, ui (badges/tiles/modal), Charts, SettleModal</w:t>
      </w:r>
    </w:p>
    <w:p>
      <w:pPr>
        <w:shd w:fill="F3F4F6" w:val="clear"/>
        <w:spacing w:after="120"/>
      </w:pPr>
      <w:r>
        <w:rPr>
          <w:rFonts w:ascii="Consolas" w:cs="Consolas" w:eastAsia="Consolas" w:hAnsi="Consolas"/>
          <w:sz w:val="18"/>
          <w:szCs w:val="18"/>
        </w:rPr>
        <w:t xml:space="preserve">  pages/Dashboard.jsx</w:t>
      </w:r>
    </w:p>
    <w:p>
      <w:pPr>
        <w:shd w:fill="F3F4F6" w:val="clear"/>
        <w:spacing w:after="120"/>
      </w:pPr>
      <w:r>
        <w:rPr>
          <w:rFonts w:ascii="Consolas" w:cs="Consolas" w:eastAsia="Consolas" w:hAnsi="Consolas"/>
          <w:sz w:val="18"/>
          <w:szCs w:val="18"/>
        </w:rPr>
        <w:t xml:space="preserve">  pages/orders/       // OrderList, NewOrder, OrderDetail, FulfilOrder</w:t>
      </w:r>
    </w:p>
    <w:p>
      <w:pPr>
        <w:shd w:fill="F3F4F6" w:val="clear"/>
        <w:spacing w:after="120"/>
      </w:pPr>
      <w:r>
        <w:rPr>
          <w:rFonts w:ascii="Consolas" w:cs="Consolas" w:eastAsia="Consolas" w:hAnsi="Consolas"/>
          <w:sz w:val="18"/>
          <w:szCs w:val="18"/>
        </w:rPr>
        <w:t xml:space="preserve">  pages/payments/     // InvoiceList, AddInvoice, InvoiceDetail</w:t>
      </w:r>
    </w:p>
    <w:p>
      <w:pPr>
        <w:shd w:fill="F3F4F6" w:val="clear"/>
        <w:spacing w:after="120"/>
      </w:pPr>
      <w:r>
        <w:rPr>
          <w:rFonts w:ascii="Consolas" w:cs="Consolas" w:eastAsia="Consolas" w:hAnsi="Consolas"/>
          <w:sz w:val="18"/>
          <w:szCs w:val="18"/>
        </w:rPr>
        <w:t xml:space="preserve">  pages/commissions/  // CommissionList, CommissionDetail</w:t>
      </w:r>
    </w:p>
    <w:p>
      <w:pPr>
        <w:shd w:fill="F3F4F6" w:val="clear"/>
        <w:spacing w:after="120"/>
      </w:pPr>
      <w:r>
        <w:rPr>
          <w:rFonts w:ascii="Consolas" w:cs="Consolas" w:eastAsia="Consolas" w:hAnsi="Consolas"/>
          <w:sz w:val="18"/>
          <w:szCs w:val="18"/>
        </w:rPr>
        <w:t xml:space="preserve">  pages/masters/      // MastersLayout, Customers, Manufacturers, Items</w:t>
      </w:r>
    </w:p>
    <w:p>
      <w:pPr>
        <w:pStyle w:val="Heading2"/>
      </w:pPr>
      <w:r>
        <w:t xml:space="preserve">8.3 State store (DataContext)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Action</w:t>
            </w:r>
          </w:p>
        </w:tc>
        <w:tc>
          <w:tcPr>
            <w:tcW w:type="dxa" w:w="542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Effect</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addOrder(order)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Prepend a new order.</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addInvoice(invoice)</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Prepend a new invoice.</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addPayment(payment)</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Append a payment (recomputes accruals).</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fulfilOrder({orderId, fulfilments, invoice})</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Atomically raise qtyFulfilled on lines and add the linked invoice.</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settleCommissions(ids, {date, reference})</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Mark accruals settled (bulk-capable).</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clearSettlement(id)</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Remove a settlement (revert to Earned).</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addCustomer / updateCustomer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Masters CRUD.</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addManufacturer / updateManufacturer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Masters CRUD.</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addItem / updateItem</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Masters CRUD.</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accruals (selector)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computeAccruals(state) — derived list, recomputed each render.</w:t>
            </w:r>
          </w:p>
        </w:tc>
      </w:tr>
    </w:tbl>
    <w:p>
      <w:pPr>
        <w:pStyle w:val="Heading2"/>
      </w:pPr>
      <w:r>
        <w:t xml:space="preserve">8.4 Route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Path</w:t>
            </w:r>
          </w:p>
        </w:tc>
        <w:tc>
          <w:tcPr>
            <w:tcW w:type="dxa" w:w="542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Screen</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Dashboard</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/orders</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list</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/orders/new</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New order</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/orders/:id</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 detail</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/orders/:id/fulfil</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Update fulfilment</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/invoices</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 list</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/invoices/new</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Add invoice</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/invoices/:id</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Invoice detail</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/commissions</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list</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/commissions/:id</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Commission detail</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/masters → /masters/customers</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Masters (Customers / Manufacturers / Items)</w:t>
            </w:r>
          </w:p>
        </w:tc>
      </w:tr>
      <w:tr>
        <w:tc>
          <w:tcPr>
            <w:tcW w:type="dxa" w:w="393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 (any other)</w:t>
            </w:r>
          </w:p>
        </w:tc>
        <w:tc>
          <w:tcPr>
            <w:tcW w:type="dxa" w:w="542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Redirect to /</w:t>
            </w:r>
          </w:p>
        </w:tc>
      </w:tr>
    </w:tbl>
    <w:p>
      <w:pPr>
        <w:pStyle w:val="Heading2"/>
      </w:pPr>
      <w:r>
        <w:t xml:space="preserve">8.5 Build &amp; deployment</w:t>
      </w:r>
    </w:p>
    <w:p>
      <w:pPr>
        <w:pStyle w:val="ListParagraph"/>
        <w:numPr>
          <w:ilvl w:val="0"/>
          <w:numId w:val="2"/>
        </w:numPr>
        <w:spacing w:after="40"/>
      </w:pPr>
      <w:r>
        <w:t xml:space="preserve">Develop: npm install; npm run dev (Vite dev server).</w:t>
      </w:r>
    </w:p>
    <w:p>
      <w:pPr>
        <w:pStyle w:val="ListParagraph"/>
        <w:numPr>
          <w:ilvl w:val="0"/>
          <w:numId w:val="2"/>
        </w:numPr>
        <w:spacing w:after="40"/>
      </w:pPr>
      <w:r>
        <w:t xml:space="preserve">Build: npm run build → static assets in dist/.</w:t>
      </w:r>
    </w:p>
    <w:p>
      <w:pPr>
        <w:pStyle w:val="ListParagraph"/>
        <w:numPr>
          <w:ilvl w:val="0"/>
          <w:numId w:val="2"/>
        </w:numPr>
        <w:spacing w:after="40"/>
      </w:pPr>
      <w:r>
        <w:t xml:space="preserve">Host: Vercel (framework auto-detected as Vite). A vercel.json rewrites all routes to /index.html so client-side deep links work (SPA fallback).</w:t>
      </w:r>
    </w:p>
    <w:p>
      <w:pPr>
        <w:pStyle w:val="ListParagraph"/>
        <w:numPr>
          <w:ilvl w:val="0"/>
          <w:numId w:val="2"/>
        </w:numPr>
        <w:spacing w:after="40"/>
      </w:pPr>
      <w:r>
        <w:t xml:space="preserve">Reference deployment: https://prismbridge.vercel.app.</w:t>
      </w:r>
    </w:p>
    <w:p>
      <w:r>
        <w:br w:type="page"/>
      </w:r>
    </w:p>
    <w:p>
      <w:pPr>
        <w:pStyle w:val="Heading1"/>
      </w:pPr>
      <w:r>
        <w:t xml:space="preserve">9. Acceptance Criteria</w:t>
      </w:r>
    </w:p>
    <w:p>
      <w:pPr>
        <w:pStyle w:val="ListParagraph"/>
        <w:numPr>
          <w:ilvl w:val="0"/>
          <w:numId w:val="2"/>
        </w:numPr>
        <w:spacing w:after="40"/>
      </w:pPr>
      <w:r>
        <w:t xml:space="preserve">Creating an order with line-level commission yields status New and appears in the order list with correct totals.</w:t>
      </w:r>
    </w:p>
    <w:p>
      <w:pPr>
        <w:pStyle w:val="ListParagraph"/>
        <w:numPr>
          <w:ilvl w:val="0"/>
          <w:numId w:val="2"/>
        </w:numPr>
        <w:spacing w:after="40"/>
      </w:pPr>
      <w:r>
        <w:t xml:space="preserve">Updating fulfilment raises an invoice for exactly the fulfilled value and advances order status appropriately.</w:t>
      </w:r>
    </w:p>
    <w:p>
      <w:pPr>
        <w:pStyle w:val="ListParagraph"/>
        <w:numPr>
          <w:ilvl w:val="0"/>
          <w:numId w:val="2"/>
        </w:numPr>
        <w:spacing w:after="40"/>
      </w:pPr>
      <w:r>
        <w:t xml:space="preserve">Recording a payment generates one commission accrual per underlying order line, with values matching Appendix B.</w:t>
      </w:r>
    </w:p>
    <w:p>
      <w:pPr>
        <w:pStyle w:val="ListParagraph"/>
        <w:numPr>
          <w:ilvl w:val="0"/>
          <w:numId w:val="2"/>
        </w:numPr>
        <w:spacing w:after="40"/>
      </w:pPr>
      <w:r>
        <w:t xml:space="preserve">Invoice list tiles and Commission list tiles change when filters change.</w:t>
      </w:r>
    </w:p>
    <w:p>
      <w:pPr>
        <w:pStyle w:val="ListParagraph"/>
        <w:numPr>
          <w:ilvl w:val="0"/>
          <w:numId w:val="2"/>
        </w:numPr>
        <w:spacing w:after="40"/>
      </w:pPr>
      <w:r>
        <w:t xml:space="preserve">A bundled invoice (multiple orders) produces commission across multiple orders from a single payment.</w:t>
      </w:r>
    </w:p>
    <w:p>
      <w:pPr>
        <w:pStyle w:val="ListParagraph"/>
        <w:numPr>
          <w:ilvl w:val="0"/>
          <w:numId w:val="2"/>
        </w:numPr>
        <w:spacing w:after="40"/>
      </w:pPr>
      <w:r>
        <w:t xml:space="preserve">Settling Earned commissions (single or bulk) flips status to Settled with the recorded date/reference; clearing reverts to Earned.</w:t>
      </w:r>
    </w:p>
    <w:p>
      <w:pPr>
        <w:pStyle w:val="ListParagraph"/>
        <w:numPr>
          <w:ilvl w:val="0"/>
          <w:numId w:val="2"/>
        </w:numPr>
        <w:spacing w:after="40"/>
      </w:pPr>
      <w:r>
        <w:t xml:space="preserve">Aging buckets and the overdue tile reflect due dates relative to “today”.</w:t>
      </w:r>
    </w:p>
    <w:p>
      <w:r>
        <w:br w:type="page"/>
      </w:r>
    </w:p>
    <w:p>
      <w:pPr>
        <w:pStyle w:val="Heading1"/>
      </w:pPr>
      <w:r>
        <w:t xml:space="preserve">10. Open Questions &amp; Future Enhancements</w:t>
      </w:r>
    </w:p>
    <w:p>
      <w:pPr>
        <w:pStyle w:val="ListParagraph"/>
        <w:numPr>
          <w:ilvl w:val="0"/>
          <w:numId w:val="2"/>
        </w:numPr>
        <w:spacing w:after="40"/>
      </w:pPr>
      <w:r>
        <w:t xml:space="preserve">Allocation when an invoice bundles multiple orders — proportional by value (current) vs explicit per-order amounts on the invoice.</w:t>
      </w:r>
    </w:p>
    <w:p>
      <w:pPr>
        <w:pStyle w:val="ListParagraph"/>
        <w:numPr>
          <w:ilvl w:val="0"/>
          <w:numId w:val="2"/>
        </w:numPr>
        <w:spacing w:after="40"/>
      </w:pPr>
      <w:r>
        <w:t xml:space="preserve">Commission on gross paid amount vs net of taxes/deductions.</w:t>
      </w:r>
    </w:p>
    <w:p>
      <w:pPr>
        <w:pStyle w:val="ListParagraph"/>
        <w:numPr>
          <w:ilvl w:val="0"/>
          <w:numId w:val="2"/>
        </w:numPr>
        <w:spacing w:after="40"/>
      </w:pPr>
      <w:r>
        <w:t xml:space="preserve">Whether fulfilment must gate invoicing, or invoices may be raised independently (current: both paths exist — Add Invoice is independent, Update Fulfilment is fulfilment-driven).</w:t>
      </w:r>
    </w:p>
    <w:p>
      <w:pPr>
        <w:pStyle w:val="ListParagraph"/>
        <w:numPr>
          <w:ilvl w:val="0"/>
          <w:numId w:val="2"/>
        </w:numPr>
        <w:spacing w:after="40"/>
      </w:pPr>
      <w:r>
        <w:t xml:space="preserve">Settlement as a full cash ledger (partial settlements, settlement receipts and a settlements report) rather than a status + reference.</w:t>
      </w:r>
    </w:p>
    <w:p>
      <w:pPr>
        <w:pStyle w:val="ListParagraph"/>
        <w:numPr>
          <w:ilvl w:val="0"/>
          <w:numId w:val="2"/>
        </w:numPr>
        <w:spacing w:after="40"/>
      </w:pPr>
      <w:r>
        <w:t xml:space="preserve">Overpayments / credit notes; taxes; multi-currency; authentication and audit trail; persistence with a backend database.</w:t>
      </w:r>
    </w:p>
    <w:p>
      <w:r>
        <w:br w:type="page"/>
      </w:r>
    </w:p>
    <w:p>
      <w:pPr>
        <w:pStyle w:val="Heading1"/>
      </w:pPr>
      <w:r>
        <w:t xml:space="preserve">Appendix A — Seed data (reference build)</w:t>
      </w:r>
    </w:p>
    <w:p>
      <w:pPr>
        <w:pStyle w:val="Heading2"/>
      </w:pPr>
      <w:r>
        <w:t xml:space="preserve">Manufacturers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557"/>
        <w:gridCol w:w="2808"/>
        <w:gridCol w:w="2059"/>
      </w:tblGrid>
      <w:tr>
        <w:trPr>
          <w:tblHeader/>
        </w:trPr>
        <w:tc>
          <w:tcPr>
            <w:tcW w:type="dxa" w:w="93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Id</w:t>
            </w:r>
          </w:p>
        </w:tc>
        <w:tc>
          <w:tcPr>
            <w:tcW w:type="dxa" w:w="3557"/>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Name</w:t>
            </w:r>
          </w:p>
        </w:tc>
        <w:tc>
          <w:tcPr>
            <w:tcW w:type="dxa" w:w="280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Location</w:t>
            </w:r>
          </w:p>
        </w:tc>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Default commission</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M1</w:t>
            </w:r>
          </w:p>
        </w:tc>
        <w:tc>
          <w:tcPr>
            <w:tcW w:type="dxa" w:w="3557"/>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Surat Silk Mills</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Surat, GJ</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4%</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M2</w:t>
            </w:r>
          </w:p>
        </w:tc>
        <w:tc>
          <w:tcPr>
            <w:tcW w:type="dxa" w:w="3557"/>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Bhilwara Suitings Ltd</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Bhilwara, RJ</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M3</w:t>
            </w:r>
          </w:p>
        </w:tc>
        <w:tc>
          <w:tcPr>
            <w:tcW w:type="dxa" w:w="3557"/>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Erode Cotton Co</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Erode, TN</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5%</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M4</w:t>
            </w:r>
          </w:p>
        </w:tc>
        <w:tc>
          <w:tcPr>
            <w:tcW w:type="dxa" w:w="3557"/>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Ludhiana Knit Fab</w:t>
            </w:r>
          </w:p>
        </w:tc>
        <w:tc>
          <w:tcPr>
            <w:tcW w:type="dxa" w:w="280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Ludhiana, PB</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3.5%</w:t>
            </w:r>
          </w:p>
        </w:tc>
      </w:tr>
    </w:tbl>
    <w:p>
      <w:pPr>
        <w:pStyle w:val="Heading2"/>
      </w:pPr>
      <w:r>
        <w:t xml:space="preserve">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621"/>
        <w:gridCol w:w="2059"/>
      </w:tblGrid>
      <w:tr>
        <w:trPr>
          <w:tblHeader/>
        </w:trPr>
        <w:tc>
          <w:tcPr>
            <w:tcW w:type="dxa" w:w="936"/>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Id</w:t>
            </w:r>
          </w:p>
        </w:tc>
        <w:tc>
          <w:tcPr>
            <w:tcW w:type="dxa" w:w="3744"/>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Name</w:t>
            </w:r>
          </w:p>
        </w:tc>
        <w:tc>
          <w:tcPr>
            <w:tcW w:type="dxa" w:w="2621"/>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Location</w:t>
            </w:r>
          </w:p>
        </w:tc>
        <w:tc>
          <w:tcPr>
            <w:tcW w:type="dxa" w:w="2059"/>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Credit terms</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C1</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Anand Garments</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Mumbai, MH</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30 days</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C2</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Reliable Apparels</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New Delhi, DL</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45 days</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C3</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Trendz Boutique</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Bengaluru, KA</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15 days</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C4</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Metro Textiles Trading</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Ahmedabad, GJ</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60 days</w:t>
            </w:r>
          </w:p>
        </w:tc>
      </w:tr>
      <w:t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C5</w:t>
            </w:r>
          </w:p>
        </w:tc>
        <w:tc>
          <w:tcPr>
            <w:tcW w:type="dxa" w:w="3744"/>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Sunrise Fashions</w:t>
            </w:r>
          </w:p>
        </w:tc>
        <w:tc>
          <w:tcPr>
            <w:tcW w:type="dxa" w:w="2621"/>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Jaipur, RJ</w:t>
            </w:r>
          </w:p>
        </w:tc>
        <w:tc>
          <w:tcPr>
            <w:tcW w:type="dxa" w:w="2059"/>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30 days</w:t>
            </w:r>
          </w:p>
        </w:tc>
      </w:tr>
    </w:tbl>
    <w:p>
      <w:pPr>
        <w:pStyle w:val="Heading2"/>
      </w:pPr>
      <w:r>
        <w:t xml:space="preserve">Orders (10), Invoices (8) &amp; Payments (5)</w:t>
      </w:r>
    </w:p>
    <w:p>
      <w:pPr>
        <w:spacing w:after="120"/>
      </w:pPr>
      <w:r>
        <w:t xml:space="preserve">Orders ORD-1001…ORD-1010 span all three statuses; invoices include a bundle (INV-E-3310 → ORD-1003 + ORD-1010) and a split order (ORD-1002 across INV-B-7741 + INV-B-7742). Five seeded payments (PMT-5001…5005) drive the accruals below. Two accruals are seeded as Settled (SETL-SURAT-04).</w:t>
      </w:r>
    </w:p>
    <w:p>
      <w:pPr>
        <w:pStyle w:val="Heading1"/>
      </w:pPr>
      <w:r>
        <w:t xml:space="preserve">Appendix B — Commission worked examples (verified)</w:t>
      </w:r>
    </w:p>
    <w:p>
      <w:pPr>
        <w:spacing w:after="120"/>
      </w:pPr>
      <w:r>
        <w:t xml:space="preserve">These are the exact accruals the engine produces from the seeded payments; use them as regression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685"/>
        <w:gridCol w:w="1685"/>
        <w:gridCol w:w="1498"/>
        <w:gridCol w:w="1310"/>
      </w:tblGrid>
      <w:tr>
        <w:trPr>
          <w:tblHeader/>
        </w:trPr>
        <w:tc>
          <w:tcPr>
            <w:tcW w:type="dxa" w:w="3182"/>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Accrual id</w:t>
            </w:r>
          </w:p>
        </w:tc>
        <w:tc>
          <w:tcPr>
            <w:tcW w:type="dxa" w:w="1685"/>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Basis (₹)</w:t>
            </w:r>
          </w:p>
        </w:tc>
        <w:tc>
          <w:tcPr>
            <w:tcW w:type="dxa" w:w="1685"/>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Term</w:t>
            </w:r>
          </w:p>
        </w:tc>
        <w:tc>
          <w:tcPr>
            <w:tcW w:type="dxa" w:w="1498"/>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Earned (₹)</w:t>
            </w:r>
          </w:p>
        </w:tc>
        <w:tc>
          <w:tcPr>
            <w:tcW w:type="dxa" w:w="1310"/>
            <w:tcBorders>
              <w:top w:val="single" w:color="CCCCCC" w:sz="1"/>
              <w:left w:val="single" w:color="CCCCCC" w:sz="1"/>
              <w:bottom w:val="single" w:color="CCCCCC" w:sz="1"/>
              <w:right w:val="single" w:color="CCCCCC" w:sz="1"/>
            </w:tcBorders>
            <w:shd w:fill="E8EDF7" w:val="clear"/>
            <w:tcMar>
              <w:top w:type="dxa" w:w="60"/>
              <w:left w:type="dxa" w:w="110"/>
              <w:bottom w:type="dxa" w:w="60"/>
              <w:right w:type="dxa" w:w="110"/>
            </w:tcMar>
          </w:tcPr>
          <w:p>
            <w:r>
              <w:rPr>
                <w:rFonts w:ascii="Arial" w:cs="Arial" w:eastAsia="Arial" w:hAnsi="Arial"/>
                <w:b/>
                <w:bCs/>
                <w:sz w:val="19"/>
                <w:szCs w:val="19"/>
              </w:rPr>
              <w:t xml:space="preserve">Status</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PMT-5001#ORD-1001-L1</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110,000.00</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4%</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4,400.00</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Settled</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PMT-5001#ORD-1001-L2</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54,000.00</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4%</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2,160.00</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Settled</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PMT-5002#ORD-1002-L1</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60,000.00</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1,800.00</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PMT-5003#ORD-1003-L1</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84,000.00</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fixed ₹3,000</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3,000.00</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PMT-5003#ORD-1010-L1</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52,000.00</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fixed ₹2,000</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2,000.00</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PMT-5004#ORD-1004-L1</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56,291.39</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5%</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2,814.57</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PMT-5004#ORD-1004-L2</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43,708.61</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5%</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2,185.43</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w:t>
            </w:r>
          </w:p>
        </w:tc>
      </w:tr>
      <w:tr>
        <w:tc>
          <w:tcPr>
            <w:tcW w:type="dxa" w:w="318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PMT-5005#ORD-1006-L1</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70,000.00</w:t>
            </w:r>
          </w:p>
        </w:tc>
        <w:tc>
          <w:tcPr>
            <w:tcW w:type="dxa" w:w="1685"/>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fixed ₹4,500</w:t>
            </w:r>
          </w:p>
        </w:tc>
        <w:tc>
          <w:tcPr>
            <w:tcW w:type="dxa" w:w="1498"/>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2,692.31</w:t>
            </w:r>
          </w:p>
        </w:tc>
        <w:tc>
          <w:tcPr>
            <w:tcW w:type="dxa" w:w="13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19"/>
                <w:szCs w:val="19"/>
              </w:rPr>
              <w:t xml:space="preserve">Earned</w:t>
            </w:r>
          </w:p>
        </w:tc>
      </w:tr>
    </w:tbl>
    <w:p>
      <w:pPr>
        <w:spacing w:after="120"/>
      </w:pPr>
      <w:r>
        <w:t xml:space="preserve">Illustration of the two trickier cases:</w:t>
      </w:r>
    </w:p>
    <w:p>
      <w:pPr>
        <w:pStyle w:val="ListParagraph"/>
        <w:numPr>
          <w:ilvl w:val="0"/>
          <w:numId w:val="2"/>
        </w:numPr>
        <w:spacing w:after="40"/>
      </w:pPr>
      <w:r>
        <w:t xml:space="preserve">INV-E-3310 (bundle) is paid in full (f = 1): fixed commissions resolve to ₹3,000 (ORD-1003) and ₹2,000 (ORD-1010) — one payment, two orders.</w:t>
      </w:r>
    </w:p>
    <w:p>
      <w:pPr>
        <w:pStyle w:val="ListParagraph"/>
        <w:numPr>
          <w:ilvl w:val="0"/>
          <w:numId w:val="2"/>
        </w:numPr>
        <w:spacing w:after="40"/>
      </w:pPr>
      <w:r>
        <w:t xml:space="preserve">INV-E-3320 partial payment of 100,000 / 151,000 (f ≈ 0.6623): line L1 basis = 85,000 × f = 56,291.39 → 5% = 2,814.57; line L2 basis = 66,000 × f = 43,708.61 → 5% = 2,185.43.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E0" w:sz="4" w:space="6"/>
      </w:pBdr>
      <w:tabs>
        <w:tab w:val="right" w:pos="9026"/>
      </w:tabs>
    </w:pPr>
    <w:r>
      <w:rPr>
        <w:color w:val="69707D"/>
        <w:sz w:val="16"/>
        <w:szCs w:val="16"/>
      </w:rPr>
      <w:t xml:space="preserve">PrismBridge — Software Requirements Specification · KRUXIN Global</w:t>
    </w:r>
    <w:r>
      <w:rPr>
        <w:sz w:val="16"/>
        <w:szCs w:val="16"/>
      </w:rPr>
      <w:t xml:space="preserve">	</w:t>
    </w:r>
    <w:r>
      <w:rPr>
        <w:color w:val="69707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BB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D2433"/>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PrismBridge — Software Requirements Specification</dc:title>
  <dc:creator>KRUXIN Global</dc:creator>
  <cp:lastModifiedBy>Un-named</cp:lastModifiedBy>
  <cp:revision>1</cp:revision>
  <dcterms:created xsi:type="dcterms:W3CDTF">2026-06-28T19:19:28.973Z</dcterms:created>
  <dcterms:modified xsi:type="dcterms:W3CDTF">2026-06-28T19:19:28.973Z</dcterms:modified>
</cp:coreProperties>
</file>

<file path=docProps/custom.xml><?xml version="1.0" encoding="utf-8"?>
<Properties xmlns="http://schemas.openxmlformats.org/officeDocument/2006/custom-properties" xmlns:vt="http://schemas.openxmlformats.org/officeDocument/2006/docPropsVTypes"/>
</file>