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48C856A" w14:textId="30953615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'For Cars Speed', "Skewness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lastRenderedPageBreak/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'Skewness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3B7CDED" w:rsidR="00C35EF3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4FA5138B" w14:textId="7777777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BF0FE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8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BF0FED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663A373">
          <v:shape id="_x0000_i1026" type="#_x0000_t75" style="width:230.4pt;height:230.4pt">
            <v:imagedata r:id="rId9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</w:t>
      </w:r>
      <w:proofErr w:type="gramStart"/>
      <w:r w:rsidR="00D0688B" w:rsidRPr="00C35EF3">
        <w:rPr>
          <w:rFonts w:ascii="Times New Roman" w:hAnsi="Times New Roman" w:cs="Times New Roman"/>
          <w:sz w:val="28"/>
          <w:szCs w:val="28"/>
        </w:rPr>
        <w:t>don’t</w:t>
      </w:r>
      <w:proofErr w:type="gramEnd"/>
      <w:r w:rsidR="00D0688B" w:rsidRPr="00C35EF3">
        <w:rPr>
          <w:rFonts w:ascii="Times New Roman" w:hAnsi="Times New Roman" w:cs="Times New Roman"/>
          <w:sz w:val="28"/>
          <w:szCs w:val="28"/>
        </w:rPr>
        <w:t xml:space="preserve">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BF0FE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39.8pt;height:115.8pt">
            <v:imagedata r:id="rId10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BF0FE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6pt;height:172.2pt">
            <v:imagedata r:id="rId11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Prob_MPG_greater_than_38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(1 -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(38, loc=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prob_MPG_less_than_40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(40, loc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prob_MPG_greater_than_20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(1-stats.norm.cdf(20, loc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20)=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(50, loc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</w:t>
      </w:r>
      <w:proofErr w:type="spellStart"/>
      <w:r w:rsidRPr="00B6301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B6301A">
        <w:rPr>
          <w:rFonts w:ascii="Times New Roman" w:hAnsi="Times New Roman" w:cs="Times New Roman"/>
          <w:sz w:val="28"/>
          <w:szCs w:val="28"/>
        </w:rPr>
        <w:t xml:space="preserve">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C0EA646" w14:textId="4A5FE04A" w:rsidR="00201F94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01C957F7" w14:textId="77777777" w:rsidR="0055139D" w:rsidRPr="00C35EF3" w:rsidRDefault="0055139D" w:rsidP="00201F94">
      <w:pPr>
        <w:rPr>
          <w:rFonts w:ascii="Times New Roman" w:hAnsi="Times New Roman" w:cs="Times New Roman"/>
          <w:sz w:val="28"/>
          <w:szCs w:val="28"/>
        </w:rPr>
      </w:pP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0.32 = 32%</w:t>
      </w:r>
    </w:p>
    <w:sectPr w:rsidR="003A03BA" w:rsidRPr="00C35EF3" w:rsidSect="008E55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5210100">
    <w:abstractNumId w:val="0"/>
  </w:num>
  <w:num w:numId="2" w16cid:durableId="1983121581">
    <w:abstractNumId w:val="4"/>
  </w:num>
  <w:num w:numId="3" w16cid:durableId="1868903579">
    <w:abstractNumId w:val="8"/>
  </w:num>
  <w:num w:numId="4" w16cid:durableId="1518537356">
    <w:abstractNumId w:val="1"/>
  </w:num>
  <w:num w:numId="5" w16cid:durableId="1020741759">
    <w:abstractNumId w:val="2"/>
  </w:num>
  <w:num w:numId="6" w16cid:durableId="1958295332">
    <w:abstractNumId w:val="6"/>
  </w:num>
  <w:num w:numId="7" w16cid:durableId="1157964694">
    <w:abstractNumId w:val="3"/>
  </w:num>
  <w:num w:numId="8" w16cid:durableId="1038317315">
    <w:abstractNumId w:val="5"/>
  </w:num>
  <w:num w:numId="9" w16cid:durableId="1196963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45DD6"/>
    <w:rsid w:val="0055139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B2CB7"/>
    <w:rsid w:val="008E550C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0FE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suman arshid</cp:lastModifiedBy>
  <cp:revision>3</cp:revision>
  <dcterms:created xsi:type="dcterms:W3CDTF">2024-04-13T12:34:00Z</dcterms:created>
  <dcterms:modified xsi:type="dcterms:W3CDTF">2024-04-13T12:55:00Z</dcterms:modified>
</cp:coreProperties>
</file>