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04ecd06e93346b2" /><Relationship Type="http://schemas.openxmlformats.org/package/2006/relationships/metadata/core-properties" Target="/docProps/core.xml" Id="R45d04e58cf2c46a2" /><Relationship Type="http://schemas.openxmlformats.org/officeDocument/2006/relationships/extended-properties" Target="/docProps/app.xml" Id="R2830656481cc41bc" /><Relationship Type="http://schemas.openxmlformats.org/officeDocument/2006/relationships/custom-properties" Target="/docProps/custom.xml" Id="R02d5a2c0dc284062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72" w14:textId="00100073">
      <w:pPr>
        <w:spacing w:after="200"/>
        <w:jc w:val="center"/>
      </w:pPr>
      <w:r>
        <w:rPr>
          <w:b/>
          <w:color w:val="1F3864"/>
          <w:sz w:val="60"/>
        </w:rPr>
        <w:t xml:space="preserve">HR Employee Attrition Prediction System</w:t>
      </w:r>
    </w:p>
    <w:p w14:paraId="00100074" w14:textId="00100075">
      <w:pPr>
        <w:spacing w:after="120"/>
        <w:jc w:val="center"/>
      </w:pPr>
      <w:r>
        <w:rPr>
          <w:color w:val="2E74B5"/>
          <w:sz w:val="28"/>
        </w:rPr>
        <w:t xml:space="preserve">An End-to-End Machine Learning Application</w:t>
      </w:r>
    </w:p>
    <w:p w14:paraId="00100076" w14:textId="00100077">
      <w:pPr>
        <w:spacing w:after="120"/>
        <w:jc w:val="center"/>
      </w:pPr>
      <w:r>
        <w:rPr>
          <w:color w:val="595959"/>
          <w:sz w:val="24"/>
        </w:rPr>
        <w:t xml:space="preserve">Python  |  XGBoost  |  FastAPI  |  Streamlit  |  Plotly</w:t>
      </w:r>
    </w:p>
    <w:p w14:paraId="00100078" w14:textId="00100079">
      <w:pPr>
        <w:spacing w:after="80"/>
        <w:jc w:val="center"/>
      </w:pPr>
      <w:r>
        <w:rPr>
          <w:color w:val="595959"/>
          <w:sz w:val="22"/>
        </w:rPr>
        <w:t xml:space="preserve">Dataset: IBM HR Analytics Employee Attrition &amp; Performance</w:t>
      </w:r>
    </w:p>
    <w:p w14:paraId="0010007A" w14:textId="0010007B">
      <w:pPr>
        <w:spacing w:after="600"/>
        <w:jc w:val="center"/>
      </w:pPr>
      <w:r>
        <w:rPr>
          <w:color w:val="595959"/>
          <w:sz w:val="22"/>
        </w:rPr>
        <w:t xml:space="preserve">1,470 Employees  |  35 Features  |  Target: Attrition (Yes / No)</w:t>
      </w:r>
    </w:p>
    <w:p w14:paraId="0010007C" w14:textId="0010007D">
      <w:pPr>
        <w:pStyle w:val="Heading1"/>
        <w:spacing w:before="120" w:after="160"/>
      </w:pPr>
      <w:r>
        <w:rPr>
          <w:b/>
          <w:color w:val="1F3864"/>
          <w:sz w:val="32"/>
        </w:rPr>
        <w:t xml:space="preserve">1. Executive Summary</w:t>
      </w:r>
    </w:p>
    <w:p w14:paraId="0010007E" w14:textId="0010007F">
      <w:pPr>
        <w:spacing w:after="160"/>
      </w:pPr>
      <w:r>
        <w:rPr>
          <w:sz w:val="22"/>
        </w:rPr>
        <w:t xml:space="preserve">This project delivers a complete, production-ready machine learning system for predicting HR employee attrition. Built on the IBM HR Analytics dataset (1,470 employees, 35 features), it combines an XGBoost classifier with SMOTE class-imbalance handling, a FastAPI REST backend, and a 5-page interactive Streamlit + Plotly web dashboard. The system achieves a cross-validated ROC-AUC of 0.8063 and test accuracy of 84%. HR managers can identify at-risk employees, explore workforce insights, and run bulk assessments — all through a browser with no code required.</w:t>
      </w:r>
    </w:p>
    <w:p w14:paraId="00100080" w14:textId="00100081">
      <w:pPr>
        <w:spacing w:after="40"/>
      </w:pPr>
      <w:r>
        <w:rPr>
          <w:b/>
          <w:sz w:val="22"/>
        </w:rPr>
        <w:t xml:space="preserve">Metric</w:t>
      </w:r>
    </w:p>
    <w:p w14:paraId="00100082" w14:textId="00100083">
      <w:pPr>
        <w:spacing w:after="40"/>
      </w:pPr>
      <w:r>
        <w:rPr>
          <w:sz w:val="22"/>
        </w:rPr>
        <w:t xml:space="preserve">Dataset: 1,470 employees x 35 features  |  Attrition rate: 16.1% (237 / 1,470)</w:t>
      </w:r>
    </w:p>
    <w:p w14:paraId="00100084" w14:textId="00100085">
      <w:pPr>
        <w:spacing w:after="40"/>
      </w:pPr>
      <w:r>
        <w:rPr>
          <w:sz w:val="22"/>
        </w:rPr>
        <w:t xml:space="preserve">Cross-Validated ROC-AUC (5-Fold Stratified): 0.8063 +/- 0.036</w:t>
      </w:r>
    </w:p>
    <w:p w14:paraId="00100086" w14:textId="00100087">
      <w:pPr>
        <w:spacing w:after="240"/>
      </w:pPr>
      <w:r>
        <w:rPr>
          <w:sz w:val="22"/>
        </w:rPr>
        <w:t xml:space="preserve">Test Set ROC-AUC: 0.7707  |  Test Set Accuracy: 84%  |  Train/Test Split: 80/20</w:t>
      </w:r>
    </w:p>
    <w:p w14:paraId="00100088" w14:textId="00100089">
      <w:pPr>
        <w:pStyle w:val="Heading1"/>
        <w:spacing w:before="240" w:after="160"/>
      </w:pPr>
      <w:r>
        <w:rPr>
          <w:b/>
          <w:color w:val="1F3864"/>
          <w:sz w:val="32"/>
        </w:rPr>
        <w:t xml:space="preserve">2. Problem Statement &amp; Objectives</w:t>
      </w:r>
    </w:p>
    <w:p w14:paraId="0010008A" w14:textId="0010008B">
      <w:pPr>
        <w:spacing w:after="120"/>
      </w:pPr>
      <w:r>
        <w:rPr>
          <w:sz w:val="22"/>
        </w:rPr>
        <w:t xml:space="preserve">Employee attrition costs organisations 50–200% of an employee's annual salary in recruiting, onboarding and lost productivity. Traditional HR relies on exit interviews — gathered after the decision to leave has already been made. A predictive analytics system shifts this from reactive to proactive, giving HR time to intervene with targeted retention strategies.</w:t>
      </w:r>
    </w:p>
    <w:p w14:paraId="0010008C" w14:textId="0010008D">
      <w:pPr>
        <w:pStyle w:val="Heading2"/>
        <w:spacing w:after="120"/>
      </w:pPr>
      <w:r>
        <w:rPr>
          <w:b/>
          <w:color w:val="2E74B5"/>
          <w:sz w:val="26"/>
        </w:rPr>
        <w:t xml:space="preserve">Project Objectives</w:t>
      </w:r>
    </w:p>
    <w:p w14:paraId="0010008E" w14:textId="0010008F">
      <w:pPr>
        <w:spacing w:after="60"/>
      </w:pPr>
      <w:r>
        <w:rPr>
          <w:sz w:val="22"/>
        </w:rPr>
        <w:t xml:space="preserve">(1) Build a binary classification model to predict Attrition (Yes/No) from 30 employee features.</w:t>
      </w:r>
    </w:p>
    <w:p w14:paraId="00100090" w14:textId="00100091">
      <w:pPr>
        <w:spacing w:after="60"/>
      </w:pPr>
      <w:r>
        <w:rPr>
          <w:sz w:val="22"/>
        </w:rPr>
        <w:t xml:space="preserve">(2) Handle the 84/16 class imbalance using SMOTE oversampling on training data only.</w:t>
      </w:r>
    </w:p>
    <w:p w14:paraId="00100092" w14:textId="00100093">
      <w:pPr>
        <w:spacing w:after="60"/>
      </w:pPr>
      <w:r>
        <w:rPr>
          <w:sz w:val="22"/>
        </w:rPr>
        <w:t xml:space="preserve">(3) Expose the model as a REST API (FastAPI) for integration with any HR platform.</w:t>
      </w:r>
    </w:p>
    <w:p w14:paraId="00100094" w14:textId="00100095">
      <w:pPr>
        <w:spacing w:after="60"/>
      </w:pPr>
      <w:r>
        <w:rPr>
          <w:sz w:val="22"/>
        </w:rPr>
        <w:t xml:space="preserve">(4) Provide an interactive 5-page Streamlit dashboard for EDA, single predictions, and batch assessment.</w:t>
      </w:r>
    </w:p>
    <w:p w14:paraId="00100096" w14:textId="00100097">
      <w:pPr>
        <w:spacing w:after="240"/>
      </w:pPr>
      <w:r>
        <w:rPr>
          <w:sz w:val="22"/>
        </w:rPr>
        <w:t xml:space="preserve">(5) Identify and visualise the key drivers of employee attrition for actionable HR insights.</w:t>
      </w:r>
    </w:p>
    <w:p w14:paraId="00100098" w14:textId="00100099">
      <w:pPr>
        <w:pStyle w:val="Heading1"/>
        <w:spacing w:before="240" w:after="160"/>
      </w:pPr>
      <w:r>
        <w:rPr>
          <w:b/>
          <w:color w:val="1F3864"/>
          <w:sz w:val="32"/>
        </w:rPr>
        <w:t xml:space="preserve">3. Project Architecture &amp; Technology Stack</w:t>
      </w:r>
    </w:p>
    <w:p w14:paraId="0010009A" w14:textId="0010009B">
      <w:pPr>
        <w:spacing w:after="120"/>
      </w:pPr>
      <w:r>
        <w:rPr>
          <w:sz w:val="22"/>
        </w:rPr>
        <w:t xml:space="preserve">Three-tier architecture separating data/model, API, and UI layers:</w:t>
      </w:r>
    </w:p>
    <w:p w14:paraId="0010009C" w14:textId="0010009D">
      <w:pPr>
        <w:spacing w:after="60"/>
      </w:pPr>
      <w:r>
        <w:rPr>
          <w:b/>
          <w:color w:val="1F3864"/>
          <w:sz w:val="20"/>
        </w:rPr>
        <w:t xml:space="preserve">DATA LAYER   :  HR-Employee-Attrition.csv  -&gt;  train_model.py (XGBoost + SMOTE)  -&gt;  models/ (pkl + json + png)</w:t>
      </w:r>
    </w:p>
    <w:p w14:paraId="0010009E" w14:textId="0010009F">
      <w:pPr>
        <w:spacing w:after="60"/>
      </w:pPr>
      <w:r>
        <w:rPr>
          <w:b/>
          <w:color w:val="1F3864"/>
          <w:sz w:val="20"/>
        </w:rPr>
        <w:t xml:space="preserve">API LAYER    :  FastAPI backend (app.py)  |  /predict, /predict/batch, /metadata  |  port 8000</w:t>
      </w:r>
    </w:p>
    <w:p w14:paraId="001000A0" w14:textId="001000A1">
      <w:pPr>
        <w:spacing w:after="160"/>
      </w:pPr>
      <w:r>
        <w:rPr>
          <w:b/>
          <w:color w:val="1F3864"/>
          <w:sz w:val="20"/>
        </w:rPr>
        <w:t xml:space="preserve">UI LAYER     :  Streamlit app (streamlit_app.py)  |  5-page dashboard  |  port 8501</w:t>
      </w:r>
    </w:p>
    <w:p w14:paraId="001000A2" w14:textId="001000A3">
      <w:pPr>
        <w:pStyle w:val="Heading2"/>
        <w:spacing w:after="120"/>
      </w:pPr>
      <w:r>
        <w:rPr>
          <w:b/>
          <w:color w:val="2E74B5"/>
          <w:sz w:val="26"/>
        </w:rPr>
        <w:t xml:space="preserve">Technology Stack</w:t>
      </w:r>
    </w:p>
    <w:p w14:paraId="001000A4" w14:textId="001000A5">
      <w:pPr>
        <w:spacing w:after="60"/>
      </w:pPr>
      <w:r>
        <w:rPr>
          <w:sz w:val="22"/>
        </w:rPr>
        <w:t xml:space="preserve">ML &amp; Data: XGBoost 2.0  |  scikit-learn 1.5 (ColumnTransformer, StandardScaler, OneHotEncoder)  |  imbalanced-learn (SMOTE)  |  pandas 2.2  |  numpy 1.26  |  joblib</w:t>
      </w:r>
    </w:p>
    <w:p w14:paraId="001000A6" w14:textId="001000A7">
      <w:pPr>
        <w:spacing w:after="60"/>
      </w:pPr>
      <w:r>
        <w:rPr>
          <w:sz w:val="22"/>
        </w:rPr>
        <w:t xml:space="preserve">Backend: FastAPI 0.111  |  Uvicorn  |  Pydantic v2 (strict request validation with field ranges)</w:t>
      </w:r>
    </w:p>
    <w:p w14:paraId="001000A8" w14:textId="001000A9">
      <w:pPr>
        <w:spacing w:after="120"/>
      </w:pPr>
      <w:r>
        <w:rPr>
          <w:sz w:val="22"/>
        </w:rPr>
        <w:t xml:space="preserve">Frontend: Streamlit 1.35  |  Plotly 5.22 (Express + Graph Objects)  |  Pillow</w:t>
      </w:r>
    </w:p>
    <w:p w14:paraId="001000AA" w14:textId="001000AB">
      <w:pPr>
        <w:pStyle w:val="Heading2"/>
        <w:spacing w:after="120"/>
      </w:pPr>
      <w:r>
        <w:rPr>
          <w:b/>
          <w:color w:val="2E74B5"/>
          <w:sz w:val="26"/>
        </w:rPr>
        <w:t xml:space="preserve">ML Pipeline Detail</w:t>
      </w:r>
    </w:p>
    <w:p w14:paraId="001000AC" w14:textId="001000AD">
      <w:pPr>
        <w:spacing w:after="80"/>
      </w:pPr>
      <w:r>
        <w:rPr>
          <w:sz w:val="22"/>
        </w:rPr>
        <w:t xml:space="preserve">Step 1 — Preprocessing (ColumnTransformer): StandardScaler on 23 numerical features. OneHotEncoder (handle_unknown=ignore) on 7 categorical features, producing 26 binary columns. Total transformed features: 49.</w:t>
      </w:r>
    </w:p>
    <w:p w14:paraId="001000AE" w14:textId="001000AF">
      <w:pPr>
        <w:spacing w:after="80"/>
      </w:pPr>
      <w:r>
        <w:rPr>
          <w:sz w:val="22"/>
        </w:rPr>
        <w:t xml:space="preserve">Step 2 — SMOTE (training split only): Generates synthetic minority-class samples via k-NN interpolation. Balances training ratio to ~50/50 without duplicating real data and without contaminating the test set.</w:t>
      </w:r>
    </w:p>
    <w:p w14:paraId="001000B0" w14:textId="001000B1">
      <w:pPr>
        <w:spacing w:after="80"/>
      </w:pPr>
      <w:r>
        <w:rPr>
          <w:sz w:val="22"/>
        </w:rPr>
        <w:t xml:space="preserve">Step 3 — XGBoost Classifier: n_estimators=400, max_depth=5, learning_rate=0.05, subsample=0.8, colsample_bytree=0.8, scale_pos_weight=class_ratio, eval_metric=logloss, random_state=42.</w:t>
      </w:r>
    </w:p>
    <w:p w14:paraId="001000B2" w14:textId="001000B3">
      <w:pPr>
        <w:spacing w:after="240"/>
      </w:pPr>
      <w:r>
        <w:rPr>
          <w:sz w:val="22"/>
        </w:rPr>
        <w:t xml:space="preserve">Evaluation: Stratified 5-Fold cross-validation scored by ROC-AUC. Primary metric ROC-AUC is threshold-independent and robust to class imbalance. Additional: Precision, Recall, F1, Accuracy on 20% holdout test set.</w:t>
      </w:r>
    </w:p>
    <w:p w14:paraId="00100000" w14:textId="00100001">
      <w:pPr>
        <w:pStyle w:val="Heading1"/>
        <w:spacing w:before="240" w:after="160"/>
      </w:pPr>
      <w:r>
        <w:rPr>
          <w:b/>
          <w:color w:val="1F3864"/>
          <w:sz w:val="32"/>
        </w:rPr>
        <w:t xml:space="preserve">4. Model Performance Results</w:t>
      </w:r>
    </w:p>
    <w:p w14:paraId="00100002" w14:textId="00100003">
      <w:pPr>
        <w:pStyle w:val="Heading2"/>
        <w:spacing w:after="120"/>
      </w:pPr>
      <w:r>
        <w:rPr>
          <w:b/>
          <w:color w:val="2E74B5"/>
          <w:sz w:val="26"/>
        </w:rPr>
        <w:t xml:space="preserve">Classification Report (Test Set - 294 employees)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661"/>
        <w:gridCol w:w="1661"/>
        <w:gridCol w:w="1661"/>
        <w:gridCol w:w="1661"/>
        <w:gridCol w:w="1661"/>
      </w:tblGrid>
      <w:tr>
        <w:trPr>
          <w:tblHeader/>
        </w:trPr>
        <w:tc>
          <w:p w14:paraId="001000B4" w14:textId="001000B5">
            <w:r>
              <w:t xml:space="preserve">Class</w:t>
            </w:r>
          </w:p>
        </w:tc>
        <w:tc>
          <w:p w14:paraId="001000B6" w14:textId="001000B7">
            <w:r>
              <w:t xml:space="preserve">Precision</w:t>
            </w:r>
          </w:p>
        </w:tc>
        <w:tc>
          <w:p w14:paraId="001000B8" w14:textId="001000B9">
            <w:r>
              <w:t xml:space="preserve">Recall</w:t>
            </w:r>
          </w:p>
        </w:tc>
        <w:tc>
          <w:p w14:paraId="001000BA" w14:textId="001000BB">
            <w:r>
              <w:t xml:space="preserve">F1-Score</w:t>
            </w:r>
          </w:p>
        </w:tc>
        <w:tc>
          <w:p w14:paraId="001000BC" w14:textId="001000BD">
            <w:r>
              <w:t xml:space="preserve">Support</w:t>
            </w:r>
          </w:p>
        </w:tc>
      </w:tr>
      <w:tr>
        <w:trPr/>
        <w:tc>
          <w:p w14:paraId="001000BE" w14:textId="001000BF">
            <w:r>
              <w:t xml:space="preserve">Stay (0)</w:t>
            </w:r>
          </w:p>
        </w:tc>
        <w:tc>
          <w:p w14:paraId="001000C0" w14:textId="001000C1">
            <w:r>
              <w:t xml:space="preserve">0.88</w:t>
            </w:r>
          </w:p>
        </w:tc>
        <w:tc>
          <w:p w14:paraId="001000C2" w14:textId="001000C3">
            <w:r>
              <w:t xml:space="preserve">0.94</w:t>
            </w:r>
          </w:p>
        </w:tc>
        <w:tc>
          <w:p w14:paraId="001000C4" w14:textId="001000C5">
            <w:r>
              <w:t xml:space="preserve">0.91</w:t>
            </w:r>
          </w:p>
        </w:tc>
        <w:tc>
          <w:p w14:paraId="001000C6" w14:textId="001000C7">
            <w:r>
              <w:t xml:space="preserve">247</w:t>
            </w:r>
          </w:p>
        </w:tc>
      </w:tr>
      <w:tr>
        <w:trPr/>
        <w:tc>
          <w:p w14:paraId="001000C8" w14:textId="001000C9">
            <w:r>
              <w:t xml:space="preserve">Leave (1)</w:t>
            </w:r>
          </w:p>
        </w:tc>
        <w:tc>
          <w:p w14:paraId="001000CA" w14:textId="001000CB">
            <w:r>
              <w:t xml:space="preserve">0.50</w:t>
            </w:r>
          </w:p>
        </w:tc>
        <w:tc>
          <w:p w14:paraId="001000CC" w14:textId="001000CD">
            <w:r>
              <w:t xml:space="preserve">0.34</w:t>
            </w:r>
          </w:p>
        </w:tc>
        <w:tc>
          <w:p w14:paraId="001000CE" w14:textId="001000CF">
            <w:r>
              <w:t xml:space="preserve">0.41</w:t>
            </w:r>
          </w:p>
        </w:tc>
        <w:tc>
          <w:p w14:paraId="001000D0" w14:textId="001000D1">
            <w:r>
              <w:t xml:space="preserve">47</w:t>
            </w:r>
          </w:p>
        </w:tc>
      </w:tr>
      <w:tr>
        <w:trPr/>
        <w:tc>
          <w:p w14:paraId="001000D2" w14:textId="001000D3">
            <w:r>
              <w:t xml:space="preserve">Accuracy</w:t>
            </w:r>
          </w:p>
        </w:tc>
        <w:tc>
          <w:p w14:paraId="001000D4" w14:textId="001000D5">
            <w:r>
              <w:t xml:space="preserve">—</w:t>
            </w:r>
          </w:p>
        </w:tc>
        <w:tc>
          <w:p w14:paraId="001000D6" w14:textId="001000D7">
            <w:r>
              <w:t xml:space="preserve">—</w:t>
            </w:r>
          </w:p>
        </w:tc>
        <w:tc>
          <w:p w14:paraId="001000D8" w14:textId="001000D9">
            <w:r>
              <w:t xml:space="preserve">0.84</w:t>
            </w:r>
          </w:p>
        </w:tc>
        <w:tc>
          <w:p w14:paraId="001000DA" w14:textId="001000DB">
            <w:r>
              <w:t xml:space="preserve">294</w:t>
            </w:r>
          </w:p>
        </w:tc>
      </w:tr>
      <w:tr>
        <w:trPr/>
        <w:tc>
          <w:p w14:paraId="001000DC" w14:textId="001000DD">
            <w:r>
              <w:t xml:space="preserve">Macro Avg</w:t>
            </w:r>
          </w:p>
        </w:tc>
        <w:tc>
          <w:p w14:paraId="001000DE" w14:textId="001000DF">
            <w:r>
              <w:t xml:space="preserve">0.69</w:t>
            </w:r>
          </w:p>
        </w:tc>
        <w:tc>
          <w:p w14:paraId="001000E0" w14:textId="001000E1">
            <w:r>
              <w:t xml:space="preserve">0.64</w:t>
            </w:r>
          </w:p>
        </w:tc>
        <w:tc>
          <w:p w14:paraId="001000E2" w14:textId="001000E3">
            <w:r>
              <w:t xml:space="preserve">0.66</w:t>
            </w:r>
          </w:p>
        </w:tc>
        <w:tc>
          <w:p w14:paraId="001000E4" w14:textId="001000E5">
            <w:r>
              <w:t xml:space="preserve">294</w:t>
            </w:r>
          </w:p>
        </w:tc>
      </w:tr>
      <w:tr>
        <w:trPr/>
        <w:tc>
          <w:p w14:paraId="001000E6" w14:textId="001000E7">
            <w:r>
              <w:t xml:space="preserve">Weighted Avg</w:t>
            </w:r>
          </w:p>
        </w:tc>
        <w:tc>
          <w:p w14:paraId="001000E8" w14:textId="001000E9">
            <w:r>
              <w:t xml:space="preserve">0.82</w:t>
            </w:r>
          </w:p>
        </w:tc>
        <w:tc>
          <w:p w14:paraId="001000EA" w14:textId="001000EB">
            <w:r>
              <w:t xml:space="preserve">0.84</w:t>
            </w:r>
          </w:p>
        </w:tc>
        <w:tc>
          <w:p w14:paraId="001000EC" w14:textId="001000ED">
            <w:r>
              <w:t xml:space="preserve">0.83</w:t>
            </w:r>
          </w:p>
        </w:tc>
        <w:tc>
          <w:p w14:paraId="001000EE" w14:textId="001000EF">
            <w:r>
              <w:t xml:space="preserve">294</w:t>
            </w:r>
          </w:p>
        </w:tc>
      </w:tr>
    </w:tbl>
    <w:p w14:paraId="00100010" w14:textId="00100011">
      <w:pPr>
        <w:pStyle w:val="Normal"/>
        <w:spacing w:after="240"/>
      </w:pPr>
      <w:r>
        <w:rPr>
          <w:b/>
          <w:color w:val="1F3864"/>
          <w:sz w:val="22"/>
        </w:rPr>
        <w:t xml:space="preserve">CV ROC-AUC (5-Fold): 0.8063 +/- 0.036     Test ROC-AUC: 0.7707     Test Accuracy: 84.0%</w:t>
      </w:r>
    </w:p>
    <w:p w14:paraId="00100012" w14:textId="00100013">
      <w:pPr>
        <w:pStyle w:val="Heading2"/>
        <w:spacing w:after="120"/>
      </w:pPr>
      <w:r>
        <w:rPr>
          <w:b/>
          <w:color w:val="2E74B5"/>
          <w:sz w:val="26"/>
        </w:rPr>
        <w:t xml:space="preserve">4.1 Confusion Matrix (Test Set)</w:t>
      </w:r>
    </w:p>
    <w:p w14:paraId="00100014" w14:textId="00100015">
      <w:pPr>
        <w:spacing w:line="240" w:lineRule="auto"/>
      </w:pPr>
      <w:r>
        <w:drawing>
          <wp:inline distT="0" distB="0" distL="0" distR="0">
            <wp:extent cx="3240000" cy="2880000"/>
            <wp:effectExtent l="0" t="0" r="0" b="0"/>
            <wp:docPr id="1" name="confusion_matrix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confusion_matrix.png"/>
                    <pic:cNvPicPr/>
                  </pic:nvPicPr>
                  <pic:blipFill>
                    <a:blip r:embed="Re0c3a669338347df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016" w14:textId="00100017">
      <w:pPr>
        <w:pStyle w:val="Normal"/>
        <w:spacing w:after="240"/>
        <w:jc w:val="center"/>
      </w:pPr>
      <w:r>
        <w:rPr>
          <w:color w:val="595959"/>
          <w:sz w:val="18"/>
        </w:rPr>
        <w:t xml:space="preserve">Figure 1: Confusion Matrix — Test Set (Stay: 231 correct, 16 missed; Leave: 16 correct, 31 missed)</w:t>
      </w:r>
    </w:p>
    <w:p w14:paraId="00100018" w14:textId="00100019">
      <w:pPr>
        <w:pStyle w:val="Heading2"/>
        <w:spacing w:after="120"/>
      </w:pPr>
      <w:r>
        <w:rPr>
          <w:b/>
          <w:color w:val="2E74B5"/>
          <w:sz w:val="26"/>
        </w:rPr>
        <w:t xml:space="preserve">4.2 Top-20 Feature Importances</w:t>
      </w:r>
    </w:p>
    <w:p w14:paraId="0010001A" w14:textId="0010001B">
      <w:pPr>
        <w:spacing w:line="240" w:lineRule="auto"/>
      </w:pPr>
      <w:r>
        <w:drawing>
          <wp:inline distT="0" distB="0" distL="0" distR="0">
            <wp:extent cx="5400000" cy="4320000"/>
            <wp:effectExtent l="0" t="0" r="0" b="0"/>
            <wp:docPr id="2" name="feature_importances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feature_importances.png"/>
                    <pic:cNvPicPr/>
                  </pic:nvPicPr>
                  <pic:blipFill>
                    <a:blip r:embed="R9627a9b2edab4f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01C" w14:textId="0010001D">
      <w:pPr>
        <w:pStyle w:val="Normal"/>
        <w:spacing w:after="320"/>
        <w:jc w:val="center"/>
      </w:pPr>
      <w:r>
        <w:rPr>
          <w:color w:val="595959"/>
          <w:sz w:val="18"/>
        </w:rPr>
        <w:t xml:space="preserve">Figure 2: XGBoost Feature Importances (gain-based) — JobLevel, OverTime_No, JobRole_Sales Executive and StockOptionLevel are the top drivers</w:t>
      </w:r>
    </w:p>
    <w:p w14:paraId="0010001E" w14:textId="0010001F">
      <w:pPr>
        <w:pStyle w:val="Heading1"/>
        <w:spacing w:before="240" w:after="160"/>
      </w:pPr>
      <w:r>
        <w:rPr>
          <w:b/>
          <w:color w:val="1F3864"/>
          <w:sz w:val="32"/>
        </w:rPr>
        <w:t xml:space="preserve">5. UI Screenshots — Live Application Output</w:t>
      </w:r>
    </w:p>
    <w:p w14:paraId="00100020" w14:textId="00100021">
      <w:pPr>
        <w:pStyle w:val="Normal"/>
        <w:spacing w:after="240"/>
      </w:pPr>
      <w:r>
        <w:rPr>
          <w:sz w:val="22"/>
        </w:rPr>
        <w:t xml:space="preserve">The following screenshots were captured live from the running Streamlit application (localhost:8501) using a headless Chromium browser at 1440x900 resolution @ 1.5x scale. The FastAPI backend (localhost:8000) was active during capture.</w:t>
      </w:r>
    </w:p>
    <w:p w14:paraId="00100022" w14:textId="00100023">
      <w:pPr>
        <w:pStyle w:val="Heading2"/>
        <w:spacing w:after="120"/>
      </w:pPr>
      <w:r>
        <w:rPr>
          <w:b/>
          <w:color w:val="2E74B5"/>
          <w:sz w:val="26"/>
        </w:rPr>
        <w:t xml:space="preserve">5.1  Dashboard — KPI Cards &amp; Charts</w:t>
      </w:r>
    </w:p>
    <w:p w14:paraId="00100024" w14:textId="00100025">
      <w:pPr>
        <w:pStyle w:val="Normal"/>
        <w:spacing w:after="160"/>
      </w:pPr>
      <w:r>
        <w:rPr>
          <w:sz w:val="22"/>
        </w:rPr>
        <w:t xml:space="preserve">The landing page shows 4 KPI metric boxes (1,470 employees, 237 attritions, 1,233 active, 16.1% rate) followed by four interactive Plotly charts: Attrition Rate by Department, by Job Role, Overtime vs Attrition, and Age Distribution. Sales has the highest department attrition (20.6%) and Sales Representative the highest role attrition (39.8%).</w:t>
      </w:r>
    </w:p>
    <w:p w14:paraId="00100026" w14:textId="00100027">
      <w:pPr>
        <w:spacing w:line="240" w:lineRule="auto"/>
      </w:pPr>
      <w:r>
        <w:drawing>
          <wp:inline distT="0" distB="0" distL="0" distR="0">
            <wp:extent cx="5400000" cy="3600000"/>
            <wp:effectExtent l="0" t="0" r="0" b="0"/>
            <wp:docPr id="3" name="01_dashboard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01_dashboard.png"/>
                    <pic:cNvPicPr/>
                  </pic:nvPicPr>
                  <pic:blipFill>
                    <a:blip r:embed="R8d154b15ab9842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028" w14:textId="00100029">
      <w:pPr>
        <w:pStyle w:val="Normal"/>
        <w:spacing w:after="320"/>
        <w:jc w:val="center"/>
      </w:pPr>
      <w:r>
        <w:rPr>
          <w:color w:val="595959"/>
          <w:sz w:val="18"/>
        </w:rPr>
        <w:t xml:space="preserve">Figure 3: Dashboard page — live screenshot showing KPI cards and attrition charts</w:t>
      </w:r>
    </w:p>
    <w:p w14:paraId="0010002A" w14:textId="0010002B">
      <w:pPr>
        <w:pStyle w:val="Heading2"/>
        <w:spacing w:after="120"/>
      </w:pPr>
      <w:r>
        <w:rPr>
          <w:b/>
          <w:color w:val="2E74B5"/>
          <w:sz w:val="26"/>
        </w:rPr>
        <w:t xml:space="preserve">5.2  Single Employee Prediction</w:t>
      </w:r>
    </w:p>
    <w:p w14:paraId="0010002C" w14:textId="0010002D">
      <w:pPr>
        <w:pStyle w:val="Normal"/>
        <w:spacing w:after="160"/>
      </w:pPr>
      <w:r>
        <w:rPr>
          <w:sz w:val="22"/>
        </w:rPr>
        <w:t xml:space="preserve">A comprehensive 30-field form organised into 5 sections: Personal Info (Age, Gender, Marital Status, Distance, Education), Work Info (Department, Job Role, Business Travel, OverTime), Compensation (Monthly Income, Daily Rate, Hourly Rate, Salary Hike, Stock Option), Experience &amp; Performance, and Satisfaction scores. On submission the API returns an attrition probability, gauge chart, risk level badge, and key risk factors.</w:t>
      </w:r>
    </w:p>
    <w:p w14:paraId="0010002E" w14:textId="0010002F">
      <w:pPr>
        <w:spacing w:line="240" w:lineRule="auto"/>
      </w:pPr>
      <w:r>
        <w:drawing>
          <wp:inline distT="0" distB="0" distL="0" distR="0">
            <wp:extent cx="5400000" cy="3600000"/>
            <wp:effectExtent l="0" t="0" r="0" b="0"/>
            <wp:docPr id="4" name="02_single_prediction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02_single_prediction.png"/>
                    <pic:cNvPicPr/>
                  </pic:nvPicPr>
                  <pic:blipFill>
                    <a:blip r:embed="R34d6c1b3b63747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030" w14:textId="00100031">
      <w:pPr>
        <w:pStyle w:val="Normal"/>
        <w:spacing w:after="320"/>
        <w:jc w:val="center"/>
      </w:pPr>
      <w:r>
        <w:rPr>
          <w:color w:val="595959"/>
          <w:sz w:val="18"/>
        </w:rPr>
        <w:t xml:space="preserve">Figure 4: Single Prediction page — employee input form with all 30 feature fields pre-populated with dataset statistics</w:t>
      </w:r>
    </w:p>
    <w:p w14:paraId="00100032" w14:textId="00100033">
      <w:pPr>
        <w:pStyle w:val="Heading2"/>
        <w:spacing w:after="120"/>
      </w:pPr>
      <w:r>
        <w:rPr>
          <w:b/>
          <w:color w:val="2E74B5"/>
          <w:sz w:val="26"/>
        </w:rPr>
        <w:t xml:space="preserve">5.3  Batch Attrition Prediction</w:t>
      </w:r>
    </w:p>
    <w:p w14:paraId="00100034" w14:textId="00100035">
      <w:pPr>
        <w:pStyle w:val="Normal"/>
        <w:spacing w:after="160"/>
      </w:pPr>
      <w:r>
        <w:rPr>
          <w:sz w:val="22"/>
        </w:rPr>
        <w:t xml:space="preserve">Allows HR teams to upload a CSV file (up to 500 employee records) for bulk attrition assessment. A downloadable CSV template with all required column headers is provided. After upload and prediction, results show a risk-level pie chart (Low/Medium/High, colour-coded green/amber/red), a sortable dataframe of all predictions sorted by probability descending, and a CSV download button.</w:t>
      </w:r>
    </w:p>
    <w:p w14:paraId="00100036" w14:textId="00100037">
      <w:pPr>
        <w:spacing w:line="240" w:lineRule="auto"/>
      </w:pPr>
      <w:r>
        <w:drawing>
          <wp:inline distT="0" distB="0" distL="0" distR="0">
            <wp:extent cx="5400000" cy="3600000"/>
            <wp:effectExtent l="0" t="0" r="0" b="0"/>
            <wp:docPr id="5" name="03_batch_prediction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03_batch_prediction.png"/>
                    <pic:cNvPicPr/>
                  </pic:nvPicPr>
                  <pic:blipFill>
                    <a:blip r:embed="R513d2f26072745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038" w14:textId="00100039">
      <w:pPr>
        <w:pStyle w:val="Normal"/>
        <w:spacing w:after="320"/>
        <w:jc w:val="center"/>
      </w:pPr>
      <w:r>
        <w:rPr>
          <w:color w:val="595959"/>
          <w:sz w:val="18"/>
        </w:rPr>
        <w:t xml:space="preserve">Figure 5: Batch Prediction page — CSV template download, upload widget, and bulk processing interface</w:t>
      </w:r>
    </w:p>
    <w:p w14:paraId="0010003A" w14:textId="0010003B">
      <w:pPr>
        <w:pStyle w:val="Heading2"/>
        <w:spacing w:after="120"/>
      </w:pPr>
      <w:r>
        <w:rPr>
          <w:b/>
          <w:color w:val="2E74B5"/>
          <w:sz w:val="26"/>
        </w:rPr>
        <w:t xml:space="preserve">5.4  EDA &amp; Data Insights</w:t>
      </w:r>
    </w:p>
    <w:p w14:paraId="0010003C" w14:textId="0010003D">
      <w:pPr>
        <w:pStyle w:val="Normal"/>
        <w:spacing w:after="160"/>
      </w:pPr>
      <w:r>
        <w:rPr>
          <w:sz w:val="22"/>
        </w:rPr>
        <w:t xml:space="preserve">Three interactive tabs: (1) Distributions — dropdown-driven histogram (numerical) or grouped bar (categorical) split by Attrition Yes/No; (2) Correlations — horizontal bar chart of Pearson correlations between all numerical features and binary attrition target; (3) Satisfaction Analysis — multi-line chart of attrition rate at each score level for all 4 satisfaction metrics. The default view shows Distribution of Age by Attrition, revealing peak attrition at ages 28-32.</w:t>
      </w:r>
    </w:p>
    <w:p w14:paraId="0010003E" w14:textId="0010003F">
      <w:pPr>
        <w:spacing w:line="240" w:lineRule="auto"/>
      </w:pPr>
      <w:r>
        <w:drawing>
          <wp:inline distT="0" distB="0" distL="0" distR="0">
            <wp:extent cx="5400000" cy="3600000"/>
            <wp:effectExtent l="0" t="0" r="0" b="0"/>
            <wp:docPr id="6" name="04_eda_insights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04_eda_insights.png"/>
                    <pic:cNvPicPr/>
                  </pic:nvPicPr>
                  <pic:blipFill>
                    <a:blip r:embed="R42eaae1dfbac4f6b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040" w14:textId="00100041">
      <w:pPr>
        <w:pStyle w:val="Normal"/>
        <w:spacing w:after="320"/>
        <w:jc w:val="center"/>
      </w:pPr>
      <w:r>
        <w:rPr>
          <w:color w:val="595959"/>
          <w:sz w:val="18"/>
        </w:rPr>
        <w:t xml:space="preserve">Figure 6: EDA &amp; Insights page — Distributions tab showing Age distribution by Attrition (Yes=red, No=blue)</w:t>
      </w:r>
    </w:p>
    <w:p w14:paraId="00100042" w14:textId="00100043">
      <w:pPr>
        <w:pStyle w:val="Heading2"/>
        <w:spacing w:after="120"/>
      </w:pPr>
      <w:r>
        <w:rPr>
          <w:b/>
          <w:color w:val="2E74B5"/>
          <w:sz w:val="26"/>
        </w:rPr>
        <w:t xml:space="preserve">5.5  Model Performance</w:t>
      </w:r>
    </w:p>
    <w:p w14:paraId="00100044" w14:textId="00100045">
      <w:pPr>
        <w:pStyle w:val="Normal"/>
        <w:spacing w:after="160"/>
      </w:pPr>
      <w:r>
        <w:rPr>
          <w:sz w:val="22"/>
        </w:rPr>
        <w:t xml:space="preserve">Displays three metric cards at the top (CV ROC-AUC mean=0.8063, std=0.0362, Test ROC-AUC=0.7707), then side-by-side shows the Confusion Matrix (Stay: 231/247 correct; Leave: 16/47 correct) and Feature Importances (top features: JobLevel, OverTime_No, JobRole_Sales Executive, StockOptionLevel, OverTime_Yes). An Algorithm Details table summarises all model configuration.</w:t>
      </w:r>
    </w:p>
    <w:p w14:paraId="00100046" w14:textId="00100047">
      <w:pPr>
        <w:spacing w:line="240" w:lineRule="auto"/>
      </w:pPr>
      <w:r>
        <w:drawing>
          <wp:inline distT="0" distB="0" distL="0" distR="0">
            <wp:extent cx="5400000" cy="3600000"/>
            <wp:effectExtent l="0" t="0" r="0" b="0"/>
            <wp:docPr id="7" name="05_model_performance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05_model_performance.png"/>
                    <pic:cNvPicPr/>
                  </pic:nvPicPr>
                  <pic:blipFill>
                    <a:blip r:embed="Rdfd55e2acbe748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048" w14:textId="00100049">
      <w:pPr>
        <w:pStyle w:val="Normal"/>
        <w:spacing w:after="320"/>
        <w:jc w:val="center"/>
      </w:pPr>
      <w:r>
        <w:rPr>
          <w:color w:val="595959"/>
          <w:sz w:val="18"/>
        </w:rPr>
        <w:t xml:space="preserve">Figure 7: Model Performance page — CV/test metrics, confusion matrix heatmap, and top-20 feature importances</w:t>
      </w:r>
    </w:p>
    <w:p w14:paraId="0010004A" w14:textId="0010004B">
      <w:pPr>
        <w:pStyle w:val="Heading1"/>
        <w:spacing w:before="240" w:after="160"/>
      </w:pPr>
      <w:r>
        <w:rPr>
          <w:b/>
          <w:color w:val="1F3864"/>
          <w:sz w:val="32"/>
        </w:rPr>
        <w:t xml:space="preserve">6. Key Insights &amp; Findings</w:t>
      </w:r>
    </w:p>
    <w:p w14:paraId="0010004C" w14:textId="0010004D">
      <w:pPr>
        <w:pStyle w:val="Normal"/>
        <w:spacing w:after="120"/>
      </w:pPr>
      <w:r>
        <w:rPr>
          <w:sz w:val="22"/>
        </w:rPr>
        <w:t xml:space="preserve">Derived from EDA, Pearson correlations, and XGBoost feature importances:</w:t>
      </w:r>
    </w:p>
    <w:p w14:paraId="0010004E" w14:textId="0010004F">
      <w:pPr>
        <w:pStyle w:val="Normal"/>
        <w:spacing w:after="80"/>
      </w:pPr>
      <w:r>
        <w:rPr>
          <w:sz w:val="22"/>
        </w:rPr>
        <w:t xml:space="preserve">1. OverTime is the strongest actionable risk. Overtime employees leave at 30.5% vs 10.4% for non-overtime — a 3x difference. OverTime_Yes and OverTime_No are both in the top-5 feature importances.</w:t>
      </w:r>
    </w:p>
    <w:p w14:paraId="00100050" w14:textId="00100051">
      <w:pPr>
        <w:pStyle w:val="Normal"/>
        <w:spacing w:after="80"/>
      </w:pPr>
      <w:r>
        <w:rPr>
          <w:sz w:val="22"/>
        </w:rPr>
        <w:t xml:space="preserve">2. Low MonthlyIncome drives attrition. Average income for leavers: $4,787 vs $6,833 for stayers. MonthlyIncome is a top feature (as captured via JobLevel and StockOptionLevel proxies in the XGBoost model).</w:t>
      </w:r>
    </w:p>
    <w:p w14:paraId="00100052" w14:textId="00100053">
      <w:pPr>
        <w:pStyle w:val="Normal"/>
        <w:spacing w:after="80"/>
      </w:pPr>
      <w:r>
        <w:rPr>
          <w:sz w:val="22"/>
        </w:rPr>
        <w:t xml:space="preserve">3. Age and tenure matter. Attrition peaks at age 25-35 and tenure &lt;2 years. Younger, early-career employees have significantly higher attrition.</w:t>
      </w:r>
    </w:p>
    <w:p w14:paraId="00100054" w14:textId="00100055">
      <w:pPr>
        <w:pStyle w:val="Normal"/>
        <w:spacing w:after="80"/>
      </w:pPr>
      <w:r>
        <w:rPr>
          <w:sz w:val="22"/>
        </w:rPr>
        <w:t xml:space="preserve">4. Job Role is critical. Sales Representative (39.8%), Human Resources (23.1%), and Laboratory Technician (23.9%) are highest-risk roles.</w:t>
      </w:r>
    </w:p>
    <w:p w14:paraId="00100056" w14:textId="00100057">
      <w:pPr>
        <w:pStyle w:val="Normal"/>
        <w:spacing w:after="80"/>
      </w:pPr>
      <w:r>
        <w:rPr>
          <w:sz w:val="22"/>
        </w:rPr>
        <w:t xml:space="preserve">5. Satisfaction scores show consistent inverse relationship. Score=1 on any satisfaction dimension correlates with 20-25% attrition vs ~10% for score=4.</w:t>
      </w:r>
    </w:p>
    <w:p w14:paraId="00100058" w14:textId="00100059">
      <w:pPr>
        <w:pStyle w:val="Normal"/>
        <w:spacing w:after="240"/>
      </w:pPr>
      <w:r>
        <w:rPr>
          <w:sz w:val="22"/>
        </w:rPr>
        <w:t xml:space="preserve">6. Single marital status: 25.6% attrition vs ~12% for married. Stock option level=0 is a strong retention lever.</w:t>
      </w:r>
    </w:p>
    <w:p w14:paraId="0010005A" w14:textId="0010005B">
      <w:pPr>
        <w:pStyle w:val="Heading1"/>
        <w:spacing w:before="240" w:after="160"/>
      </w:pPr>
      <w:r>
        <w:rPr>
          <w:b/>
          <w:color w:val="1F3864"/>
          <w:sz w:val="32"/>
        </w:rPr>
        <w:t xml:space="preserve">7. How to Run the Project</w:t>
      </w:r>
    </w:p>
    <w:p w14:paraId="0010005C" w14:textId="0010005D">
      <w:pPr>
        <w:pStyle w:val="Normal"/>
        <w:spacing w:after="80"/>
      </w:pPr>
      <w:r>
        <w:rPr>
          <w:sz w:val="22"/>
        </w:rPr>
        <w:t xml:space="preserve">Step 1 — Install dependencies:   pip install -r requirements.txt</w:t>
      </w:r>
    </w:p>
    <w:p w14:paraId="0010005E" w14:textId="0010005F">
      <w:pPr>
        <w:pStyle w:val="Normal"/>
        <w:spacing w:after="80"/>
      </w:pPr>
      <w:r>
        <w:rPr>
          <w:sz w:val="22"/>
        </w:rPr>
        <w:t xml:space="preserve">Step 2 — Train the model:   python backend/train_model.py   (saves artifacts to models/)</w:t>
      </w:r>
    </w:p>
    <w:p w14:paraId="00100060" w14:textId="00100061">
      <w:pPr>
        <w:pStyle w:val="Normal"/>
        <w:spacing w:after="80"/>
      </w:pPr>
      <w:r>
        <w:rPr>
          <w:sz w:val="22"/>
        </w:rPr>
        <w:t xml:space="preserve">Step 3 — Start FastAPI backend (Terminal 1):   uvicorn backend.app:app --reload --port 8000</w:t>
      </w:r>
    </w:p>
    <w:p w14:paraId="00100062" w14:textId="00100063">
      <w:pPr>
        <w:pStyle w:val="Normal"/>
        <w:spacing w:after="80"/>
      </w:pPr>
      <w:r>
        <w:rPr>
          <w:color w:val="595959"/>
          <w:sz w:val="22"/>
        </w:rPr>
        <w:t xml:space="preserve">                                                Swagger UI: http://localhost:8000/docs</w:t>
      </w:r>
    </w:p>
    <w:p w14:paraId="00100064" w14:textId="00100065">
      <w:pPr>
        <w:pStyle w:val="Normal"/>
        <w:spacing w:after="80"/>
      </w:pPr>
      <w:r>
        <w:rPr>
          <w:sz w:val="22"/>
        </w:rPr>
        <w:t xml:space="preserve">Step 4 — Start Streamlit frontend (Terminal 2):  streamlit run frontend/streamlit_app.py</w:t>
      </w:r>
    </w:p>
    <w:p w14:paraId="00100066" w14:textId="00100067">
      <w:pPr>
        <w:pStyle w:val="Normal"/>
        <w:spacing w:after="240"/>
      </w:pPr>
      <w:r>
        <w:rPr>
          <w:color w:val="595959"/>
          <w:sz w:val="22"/>
        </w:rPr>
        <w:t xml:space="preserve">                                                  Web app: http://localhost:8501</w:t>
      </w:r>
    </w:p>
    <w:p w14:paraId="00100068" w14:textId="00100069">
      <w:pPr>
        <w:pStyle w:val="Heading1"/>
        <w:spacing w:before="240" w:after="160"/>
      </w:pPr>
      <w:r>
        <w:rPr>
          <w:b/>
          <w:color w:val="1F3864"/>
          <w:sz w:val="32"/>
        </w:rPr>
        <w:t xml:space="preserve">8. Conclusion</w:t>
      </w:r>
    </w:p>
    <w:p w14:paraId="0010006A" w14:textId="0010006B">
      <w:pPr>
        <w:pStyle w:val="Normal"/>
        <w:spacing w:after="160"/>
      </w:pPr>
      <w:r>
        <w:rPr>
          <w:sz w:val="22"/>
        </w:rPr>
        <w:t xml:space="preserve">This project successfully delivers an end-to-end HR Attrition Prediction system covering the complete ML lifecycle: data loading, preprocessing, imbalance handling, model training, cross-validation, REST API serving, and interactive web dashboard. The XGBoost pipeline achieves a CV ROC-AUC of 0.8063 and test accuracy of 84%, identifying OverTime, income, job role, age, and satisfaction as the primary retention levers. The system is immediately deployable and extensible.</w:t>
      </w:r>
    </w:p>
    <w:p w14:paraId="0010006C" w14:textId="0010006D">
      <w:pPr>
        <w:pStyle w:val="Normal"/>
        <w:spacing w:after="480"/>
      </w:pPr>
      <w:r>
        <w:rPr>
          <w:sz w:val="22"/>
        </w:rPr>
        <w:t xml:space="preserve">Future enhancements: SHAP per-prediction explanations, threshold optimisation for higher Leave recall, hyperparameter tuning with Optuna, model comparison (LightGBM/CatBoost), live HRIS database integration, JWT authentication for production.</w:t>
      </w:r>
    </w:p>
    <w:p w14:paraId="0010006E" w14:textId="0010006F">
      <w:pPr>
        <w:pStyle w:val="Normal"/>
        <w:spacing w:after="80"/>
        <w:jc w:val="center"/>
      </w:pPr>
      <w:r>
        <w:rPr>
          <w:color w:val="595959"/>
          <w:sz w:val="22"/>
        </w:rPr>
        <w:t xml:space="preserve">-- End of Report --</w:t>
      </w:r>
    </w:p>
    <w:p w14:paraId="00100070" w14:textId="00100071">
      <w:pPr>
        <w:pStyle w:val="Normal"/>
        <w:spacing w:after="80"/>
        <w:jc w:val="center"/>
      </w:pPr>
      <w:r>
        <w:rPr>
          <w:color w:val="595959"/>
          <w:sz w:val="18"/>
        </w:rPr>
        <w:t xml:space="preserve">HR Employee Attrition Prediction  |  Python  XGBoost  FastAPI  Streamlit  |  IBM HR Dataset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bb57251b51874b28" /><Relationship Type="http://schemas.openxmlformats.org/officeDocument/2006/relationships/styles" Target="/word/styles.xml" Id="Rb2e61b14d7f84252" /><Relationship Type="http://schemas.openxmlformats.org/officeDocument/2006/relationships/theme" Target="/word/theme/theme1.xml" Id="R940a9bb1a5d24935" /><Relationship Type="http://schemas.openxmlformats.org/officeDocument/2006/relationships/numbering" Target="/word/numbering.xml" Id="R627c6916ac4c487a" /><Relationship Type="http://schemas.openxmlformats.org/officeDocument/2006/relationships/image" Target="/media/image.png" Id="Re0c3a669338347df" /><Relationship Type="http://schemas.openxmlformats.org/officeDocument/2006/relationships/image" Target="/media/image2.png" Id="R9627a9b2edab4f66" /><Relationship Type="http://schemas.openxmlformats.org/officeDocument/2006/relationships/image" Target="/media/image3.png" Id="R8d154b15ab984232" /><Relationship Type="http://schemas.openxmlformats.org/officeDocument/2006/relationships/image" Target="/media/image4.png" Id="R34d6c1b3b6374717" /><Relationship Type="http://schemas.openxmlformats.org/officeDocument/2006/relationships/image" Target="/media/image5.png" Id="R513d2f2607274578" /><Relationship Type="http://schemas.openxmlformats.org/officeDocument/2006/relationships/image" Target="/media/image6.png" Id="R42eaae1dfbac4f6b" /><Relationship Type="http://schemas.openxmlformats.org/officeDocument/2006/relationships/image" Target="/media/image7.png" Id="Rdfd55e2acbe7486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OfficeCLI/1.0.151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2026-09-20T04:59:13Z</dcterms:created>
  <cp:lastModifiedBy>OfficeCLI</cp:lastModifiedBy>
  <dcterms:modified xsi:type="dcterms:W3CDTF">2026-09-20T04:59:13Z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1.0.151</vt:lpwstr>
  </op:property>
  <op:property fmtid="{D5CDD505-2E9C-101B-9397-08002B2CF9AE}" pid="3" name="OfficeCLI.LastModified">
    <vt:lpwstr xmlns:vt="http://schemas.openxmlformats.org/officeDocument/2006/docPropsVTypes">2026-09-20T05:10:12Z</vt:lpwstr>
  </op:property>
</op:Properties>
</file>