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52B0A" w14:textId="77777777" w:rsidR="00E86DEB" w:rsidRDefault="00B0119C">
      <w:pPr>
        <w:rPr>
          <w:rFonts w:ascii="Times New Roman" w:hAnsi="Times New Roman" w:cs="Times New Roman"/>
          <w:sz w:val="20"/>
          <w:szCs w:val="20"/>
        </w:rPr>
      </w:pPr>
      <w:bookmarkStart w:id="0" w:name="_GoBack"/>
      <w:bookmarkEnd w:id="0"/>
      <w:r w:rsidRPr="000A5736">
        <w:rPr>
          <w:rFonts w:ascii="Times New Roman" w:hAnsi="Times New Roman" w:cs="Times New Roman"/>
          <w:sz w:val="20"/>
          <w:szCs w:val="20"/>
          <w:u w:val="single"/>
        </w:rPr>
        <w:t>Case study</w:t>
      </w:r>
      <w:r w:rsidRPr="000A5736">
        <w:rPr>
          <w:rFonts w:ascii="Times New Roman" w:hAnsi="Times New Roman" w:cs="Times New Roman"/>
          <w:sz w:val="20"/>
          <w:szCs w:val="20"/>
        </w:rPr>
        <w:br/>
      </w:r>
      <w:r w:rsidRPr="000A5736">
        <w:rPr>
          <w:rFonts w:ascii="Times New Roman" w:hAnsi="Times New Roman" w:cs="Times New Roman"/>
          <w:sz w:val="20"/>
          <w:szCs w:val="20"/>
        </w:rPr>
        <w:br/>
        <w:t>Consider a scaled-up</w:t>
      </w:r>
      <w:r w:rsidR="000B66C4" w:rsidRPr="000A5736">
        <w:rPr>
          <w:rFonts w:ascii="Times New Roman" w:hAnsi="Times New Roman" w:cs="Times New Roman"/>
          <w:sz w:val="20"/>
          <w:szCs w:val="20"/>
        </w:rPr>
        <w:t xml:space="preserve"> version of the Intel Mini-Fab </w:t>
      </w:r>
      <w:r w:rsidR="000B66C4" w:rsidRPr="002E4C53">
        <w:rPr>
          <w:rFonts w:ascii="Times New Roman" w:hAnsi="Times New Roman" w:cs="Times New Roman"/>
          <w:sz w:val="20"/>
          <w:szCs w:val="20"/>
          <w:highlight w:val="yellow"/>
        </w:rPr>
        <w:t>[</w:t>
      </w:r>
      <w:r w:rsidR="00900AC8">
        <w:rPr>
          <w:rFonts w:ascii="Times New Roman" w:hAnsi="Times New Roman" w:cs="Times New Roman"/>
          <w:sz w:val="20"/>
          <w:szCs w:val="20"/>
          <w:highlight w:val="yellow"/>
        </w:rPr>
        <w:t>1</w:t>
      </w:r>
      <w:r w:rsidR="000B66C4" w:rsidRPr="002E4C53">
        <w:rPr>
          <w:rFonts w:ascii="Times New Roman" w:hAnsi="Times New Roman" w:cs="Times New Roman"/>
          <w:sz w:val="20"/>
          <w:szCs w:val="20"/>
          <w:highlight w:val="yellow"/>
        </w:rPr>
        <w:t>]</w:t>
      </w:r>
      <w:r w:rsidRPr="000A5736">
        <w:rPr>
          <w:rFonts w:ascii="Times New Roman" w:hAnsi="Times New Roman" w:cs="Times New Roman"/>
          <w:sz w:val="20"/>
          <w:szCs w:val="20"/>
        </w:rPr>
        <w:t>, a benchmark mode</w:t>
      </w:r>
      <w:r w:rsidR="00C14D04" w:rsidRPr="000A5736">
        <w:rPr>
          <w:rFonts w:ascii="Times New Roman" w:hAnsi="Times New Roman" w:cs="Times New Roman"/>
          <w:sz w:val="20"/>
          <w:szCs w:val="20"/>
        </w:rPr>
        <w:t xml:space="preserve">l that has been used in various scheduling studies for wafer fabs </w:t>
      </w:r>
      <w:r w:rsidR="00C14D04" w:rsidRPr="002E4C53">
        <w:rPr>
          <w:rFonts w:ascii="Times New Roman" w:hAnsi="Times New Roman" w:cs="Times New Roman"/>
          <w:sz w:val="20"/>
          <w:szCs w:val="20"/>
          <w:highlight w:val="yellow"/>
        </w:rPr>
        <w:t>[</w:t>
      </w:r>
      <w:r w:rsidR="00900AC8">
        <w:rPr>
          <w:rFonts w:ascii="Times New Roman" w:hAnsi="Times New Roman" w:cs="Times New Roman"/>
          <w:sz w:val="20"/>
          <w:szCs w:val="20"/>
          <w:highlight w:val="yellow"/>
        </w:rPr>
        <w:t>2,3</w:t>
      </w:r>
      <w:r w:rsidR="00C14D04" w:rsidRPr="002E4C53">
        <w:rPr>
          <w:rFonts w:ascii="Times New Roman" w:hAnsi="Times New Roman" w:cs="Times New Roman"/>
          <w:sz w:val="20"/>
          <w:szCs w:val="20"/>
          <w:highlight w:val="yellow"/>
        </w:rPr>
        <w:t>]</w:t>
      </w:r>
      <w:r w:rsidR="00C14D04" w:rsidRPr="000A5736">
        <w:rPr>
          <w:rFonts w:ascii="Times New Roman" w:hAnsi="Times New Roman" w:cs="Times New Roman"/>
          <w:sz w:val="20"/>
          <w:szCs w:val="20"/>
        </w:rPr>
        <w:t xml:space="preserve">. The Mini-Fab model has been scaled-up by a factor of four to construct a scheduling example with more available choices for </w:t>
      </w:r>
      <w:r w:rsidR="002639CA">
        <w:rPr>
          <w:rFonts w:ascii="Times New Roman" w:hAnsi="Times New Roman" w:cs="Times New Roman"/>
          <w:sz w:val="20"/>
          <w:szCs w:val="20"/>
        </w:rPr>
        <w:t>production sc</w:t>
      </w:r>
      <w:r w:rsidR="000D7DB8">
        <w:rPr>
          <w:rFonts w:ascii="Times New Roman" w:hAnsi="Times New Roman" w:cs="Times New Roman"/>
          <w:sz w:val="20"/>
          <w:szCs w:val="20"/>
        </w:rPr>
        <w:t>heduling. The scaled-up Mini-Fab has three stations: diffusion, lit</w:t>
      </w:r>
      <w:r w:rsidR="00246938">
        <w:rPr>
          <w:rFonts w:ascii="Times New Roman" w:hAnsi="Times New Roman" w:cs="Times New Roman"/>
          <w:sz w:val="20"/>
          <w:szCs w:val="20"/>
        </w:rPr>
        <w:t>hography, and ion implantation, where wafer lots of types Pa and Pb are fabricated. The general flow of the wafer l</w:t>
      </w:r>
      <w:r w:rsidR="006220AF">
        <w:rPr>
          <w:rFonts w:ascii="Times New Roman" w:hAnsi="Times New Roman" w:cs="Times New Roman"/>
          <w:sz w:val="20"/>
          <w:szCs w:val="20"/>
        </w:rPr>
        <w:t xml:space="preserve">ots, shown in Figure 01, is the same for both </w:t>
      </w:r>
      <w:r w:rsidR="00190C1D">
        <w:rPr>
          <w:rFonts w:ascii="Times New Roman" w:hAnsi="Times New Roman" w:cs="Times New Roman"/>
          <w:sz w:val="20"/>
          <w:szCs w:val="20"/>
        </w:rPr>
        <w:t>product types</w:t>
      </w:r>
      <w:r w:rsidR="006220AF">
        <w:rPr>
          <w:rFonts w:ascii="Times New Roman" w:hAnsi="Times New Roman" w:cs="Times New Roman"/>
          <w:sz w:val="20"/>
          <w:szCs w:val="20"/>
        </w:rPr>
        <w:t>:</w:t>
      </w:r>
    </w:p>
    <w:p w14:paraId="33D1097B" w14:textId="77777777" w:rsidR="006220AF" w:rsidRPr="000A5736" w:rsidRDefault="006220AF" w:rsidP="006220AF">
      <w:pPr>
        <w:jc w:val="center"/>
        <w:rPr>
          <w:rFonts w:ascii="Times New Roman" w:hAnsi="Times New Roman" w:cs="Times New Roman"/>
          <w:sz w:val="20"/>
          <w:szCs w:val="20"/>
        </w:rPr>
      </w:pPr>
      <w:r w:rsidRPr="000A5736">
        <w:rPr>
          <w:rFonts w:ascii="Times New Roman" w:hAnsi="Times New Roman" w:cs="Times New Roman"/>
          <w:sz w:val="20"/>
          <w:szCs w:val="20"/>
        </w:rPr>
        <w:t>Start &gt;&gt; Diffusion (S1) &gt;&gt; Ion implantation (S2) &gt;&gt; Lithography (S3) &gt;&gt; Ion implantation (S4) &gt;&gt; Diffusion (S5) &gt;&gt; Lithography (S6) &gt;&gt; Exit</w:t>
      </w:r>
    </w:p>
    <w:p w14:paraId="75658E6B" w14:textId="77777777" w:rsidR="003C67C5" w:rsidRPr="000A5736" w:rsidRDefault="00CB6C61" w:rsidP="00605B0F">
      <w:pPr>
        <w:jc w:val="center"/>
        <w:rPr>
          <w:rFonts w:ascii="Times New Roman" w:hAnsi="Times New Roman" w:cs="Times New Roman"/>
          <w:sz w:val="20"/>
          <w:szCs w:val="20"/>
        </w:rPr>
      </w:pPr>
      <w:r>
        <w:rPr>
          <w:noProof/>
        </w:rPr>
        <w:drawing>
          <wp:inline distT="0" distB="0" distL="0" distR="0" wp14:anchorId="15424BEA" wp14:editId="2B670522">
            <wp:extent cx="3393766" cy="237309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610" cy="2379282"/>
                    </a:xfrm>
                    <a:prstGeom prst="rect">
                      <a:avLst/>
                    </a:prstGeom>
                  </pic:spPr>
                </pic:pic>
              </a:graphicData>
            </a:graphic>
          </wp:inline>
        </w:drawing>
      </w:r>
    </w:p>
    <w:p w14:paraId="54159DCC" w14:textId="77777777" w:rsidR="00D4687C" w:rsidRPr="000A5736" w:rsidRDefault="000B66C4" w:rsidP="006220AF">
      <w:pPr>
        <w:jc w:val="center"/>
        <w:rPr>
          <w:rFonts w:ascii="Times New Roman" w:hAnsi="Times New Roman" w:cs="Times New Roman"/>
          <w:sz w:val="20"/>
          <w:szCs w:val="20"/>
        </w:rPr>
      </w:pPr>
      <w:r w:rsidRPr="000A5736">
        <w:rPr>
          <w:rFonts w:ascii="Times New Roman" w:hAnsi="Times New Roman" w:cs="Times New Roman"/>
          <w:b/>
          <w:sz w:val="20"/>
          <w:szCs w:val="20"/>
        </w:rPr>
        <w:t>Figure 01.</w:t>
      </w:r>
      <w:r w:rsidRPr="000A5736">
        <w:rPr>
          <w:rFonts w:ascii="Times New Roman" w:hAnsi="Times New Roman" w:cs="Times New Roman"/>
          <w:sz w:val="20"/>
          <w:szCs w:val="20"/>
        </w:rPr>
        <w:t xml:space="preserve"> Diagram of process flow in scaled-up Mini-Fab.</w:t>
      </w:r>
      <w:r w:rsidRPr="000A5736">
        <w:rPr>
          <w:rFonts w:ascii="Times New Roman" w:hAnsi="Times New Roman" w:cs="Times New Roman"/>
          <w:sz w:val="20"/>
          <w:szCs w:val="20"/>
        </w:rPr>
        <w:br/>
      </w:r>
    </w:p>
    <w:p w14:paraId="5C538FEC" w14:textId="74C44A51" w:rsidR="00D4687C" w:rsidRPr="000A5736" w:rsidRDefault="000245A6" w:rsidP="000245A6">
      <w:pPr>
        <w:rPr>
          <w:rFonts w:ascii="Times New Roman" w:hAnsi="Times New Roman" w:cs="Times New Roman"/>
          <w:sz w:val="20"/>
          <w:szCs w:val="20"/>
        </w:rPr>
      </w:pPr>
      <w:r>
        <w:rPr>
          <w:rFonts w:ascii="Times New Roman" w:hAnsi="Times New Roman" w:cs="Times New Roman"/>
          <w:sz w:val="20"/>
          <w:szCs w:val="20"/>
        </w:rPr>
        <w:t xml:space="preserve">Equipment for all stations is also shown in Figure 01. Tools are assigned to processing steps S1 to S6 as described in Table 1. Equipment preemption is not allowed so once a </w:t>
      </w:r>
      <w:r w:rsidR="001F7244">
        <w:rPr>
          <w:rFonts w:ascii="Times New Roman" w:hAnsi="Times New Roman" w:cs="Times New Roman"/>
          <w:sz w:val="20"/>
          <w:szCs w:val="20"/>
        </w:rPr>
        <w:t>tool</w:t>
      </w:r>
      <w:r>
        <w:rPr>
          <w:rFonts w:ascii="Times New Roman" w:hAnsi="Times New Roman" w:cs="Times New Roman"/>
          <w:sz w:val="20"/>
          <w:szCs w:val="20"/>
        </w:rPr>
        <w:t xml:space="preserve"> begins the execution of a step, the step must be completed. Loading and unloading times are neglected. Every station is equipped with buffers (BD, BL, and BI) but their capacity is assumed infinite.</w:t>
      </w:r>
    </w:p>
    <w:p w14:paraId="0CC53165"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b/>
          <w:sz w:val="20"/>
          <w:szCs w:val="20"/>
        </w:rPr>
        <w:t>Table</w:t>
      </w:r>
      <w:r w:rsidR="00201F30" w:rsidRPr="000A5736">
        <w:rPr>
          <w:rFonts w:ascii="Times New Roman" w:hAnsi="Times New Roman" w:cs="Times New Roman"/>
          <w:b/>
          <w:sz w:val="20"/>
          <w:szCs w:val="20"/>
        </w:rPr>
        <w:t xml:space="preserve"> 1</w:t>
      </w:r>
      <w:r w:rsidRPr="000A5736">
        <w:rPr>
          <w:rFonts w:ascii="Times New Roman" w:hAnsi="Times New Roman" w:cs="Times New Roman"/>
          <w:b/>
          <w:sz w:val="20"/>
          <w:szCs w:val="20"/>
        </w:rPr>
        <w:t>.</w:t>
      </w:r>
      <w:r w:rsidRPr="000A5736">
        <w:rPr>
          <w:rFonts w:ascii="Times New Roman" w:hAnsi="Times New Roman" w:cs="Times New Roman"/>
          <w:sz w:val="20"/>
          <w:szCs w:val="20"/>
        </w:rPr>
        <w:t xml:space="preserve"> Processing step – equipment – processing time mapping</w:t>
      </w:r>
    </w:p>
    <w:tbl>
      <w:tblPr>
        <w:tblStyle w:val="TableGrid"/>
        <w:tblW w:w="0" w:type="auto"/>
        <w:jc w:val="center"/>
        <w:tblLook w:val="04A0" w:firstRow="1" w:lastRow="0" w:firstColumn="1" w:lastColumn="0" w:noHBand="0" w:noVBand="1"/>
      </w:tblPr>
      <w:tblGrid>
        <w:gridCol w:w="1532"/>
        <w:gridCol w:w="1708"/>
        <w:gridCol w:w="1620"/>
        <w:gridCol w:w="1530"/>
      </w:tblGrid>
      <w:tr w:rsidR="005705F4" w:rsidRPr="000A5736" w14:paraId="7A6C1B94" w14:textId="77777777" w:rsidTr="00944239">
        <w:trPr>
          <w:jc w:val="center"/>
        </w:trPr>
        <w:tc>
          <w:tcPr>
            <w:tcW w:w="1532" w:type="dxa"/>
            <w:shd w:val="clear" w:color="auto" w:fill="D0CECE" w:themeFill="background2" w:themeFillShade="E6"/>
          </w:tcPr>
          <w:p w14:paraId="0404AF4F" w14:textId="77777777" w:rsidR="005705F4" w:rsidRPr="00DF2E0E" w:rsidRDefault="005705F4" w:rsidP="00605B0F">
            <w:pPr>
              <w:jc w:val="center"/>
              <w:rPr>
                <w:rFonts w:ascii="Times New Roman" w:hAnsi="Times New Roman" w:cs="Times New Roman"/>
                <w:sz w:val="18"/>
                <w:szCs w:val="18"/>
              </w:rPr>
            </w:pPr>
            <w:r w:rsidRPr="00DF2E0E">
              <w:rPr>
                <w:rFonts w:ascii="Times New Roman" w:hAnsi="Times New Roman" w:cs="Times New Roman"/>
                <w:sz w:val="18"/>
                <w:szCs w:val="18"/>
              </w:rPr>
              <w:t>Equipment</w:t>
            </w:r>
          </w:p>
        </w:tc>
        <w:tc>
          <w:tcPr>
            <w:tcW w:w="1708" w:type="dxa"/>
            <w:shd w:val="clear" w:color="auto" w:fill="D0CECE" w:themeFill="background2" w:themeFillShade="E6"/>
          </w:tcPr>
          <w:p w14:paraId="42C62558" w14:textId="77777777" w:rsidR="005705F4" w:rsidRPr="000A5736" w:rsidRDefault="005705F4" w:rsidP="00605B0F">
            <w:pPr>
              <w:jc w:val="center"/>
              <w:rPr>
                <w:rFonts w:ascii="Times New Roman" w:hAnsi="Times New Roman" w:cs="Times New Roman"/>
                <w:sz w:val="20"/>
                <w:szCs w:val="20"/>
              </w:rPr>
            </w:pPr>
            <w:r w:rsidRPr="000A5736">
              <w:rPr>
                <w:rFonts w:ascii="Times New Roman" w:hAnsi="Times New Roman" w:cs="Times New Roman"/>
                <w:sz w:val="20"/>
                <w:szCs w:val="20"/>
              </w:rPr>
              <w:t>Processing step</w:t>
            </w:r>
          </w:p>
        </w:tc>
        <w:tc>
          <w:tcPr>
            <w:tcW w:w="3150" w:type="dxa"/>
            <w:gridSpan w:val="2"/>
            <w:shd w:val="clear" w:color="auto" w:fill="D0CECE" w:themeFill="background2" w:themeFillShade="E6"/>
          </w:tcPr>
          <w:p w14:paraId="2079C44A" w14:textId="6C0A4F00" w:rsidR="005705F4" w:rsidRPr="000A5736" w:rsidRDefault="005705F4" w:rsidP="005705F4">
            <w:pPr>
              <w:jc w:val="center"/>
              <w:rPr>
                <w:rFonts w:ascii="Times New Roman" w:hAnsi="Times New Roman" w:cs="Times New Roman"/>
                <w:sz w:val="20"/>
                <w:szCs w:val="20"/>
              </w:rPr>
            </w:pPr>
            <w:r w:rsidRPr="000A5736">
              <w:rPr>
                <w:rFonts w:ascii="Times New Roman" w:hAnsi="Times New Roman" w:cs="Times New Roman"/>
                <w:sz w:val="20"/>
                <w:szCs w:val="20"/>
              </w:rPr>
              <w:t>Pa</w:t>
            </w:r>
            <w:r>
              <w:rPr>
                <w:rFonts w:ascii="Times New Roman" w:hAnsi="Times New Roman" w:cs="Times New Roman"/>
                <w:sz w:val="20"/>
                <w:szCs w:val="20"/>
              </w:rPr>
              <w:t xml:space="preserve"> and </w:t>
            </w:r>
            <w:proofErr w:type="spellStart"/>
            <w:r w:rsidRPr="000A5736">
              <w:rPr>
                <w:rFonts w:ascii="Times New Roman" w:hAnsi="Times New Roman" w:cs="Times New Roman"/>
                <w:sz w:val="20"/>
                <w:szCs w:val="20"/>
              </w:rPr>
              <w:t>Pb</w:t>
            </w:r>
            <w:proofErr w:type="spellEnd"/>
          </w:p>
        </w:tc>
      </w:tr>
      <w:tr w:rsidR="00116E78" w:rsidRPr="000A5736" w14:paraId="0C73EDB1" w14:textId="77777777" w:rsidTr="00DF2E0E">
        <w:trPr>
          <w:jc w:val="center"/>
        </w:trPr>
        <w:tc>
          <w:tcPr>
            <w:tcW w:w="1532" w:type="dxa"/>
            <w:shd w:val="clear" w:color="auto" w:fill="D0CECE" w:themeFill="background2" w:themeFillShade="E6"/>
          </w:tcPr>
          <w:p w14:paraId="206AEEA9" w14:textId="77777777" w:rsidR="00116E78" w:rsidRPr="000A5736" w:rsidRDefault="006220AF" w:rsidP="006220AF">
            <w:pPr>
              <w:jc w:val="center"/>
              <w:rPr>
                <w:rFonts w:ascii="Times New Roman" w:hAnsi="Times New Roman" w:cs="Times New Roman"/>
                <w:sz w:val="20"/>
                <w:szCs w:val="20"/>
              </w:rPr>
            </w:pPr>
            <w:r>
              <w:rPr>
                <w:rFonts w:ascii="Times New Roman" w:hAnsi="Times New Roman" w:cs="Times New Roman"/>
                <w:sz w:val="20"/>
                <w:szCs w:val="20"/>
              </w:rPr>
              <w:t>T</w:t>
            </w:r>
            <w:r w:rsidR="00116E78" w:rsidRPr="000A5736">
              <w:rPr>
                <w:rFonts w:ascii="Times New Roman" w:hAnsi="Times New Roman" w:cs="Times New Roman"/>
                <w:sz w:val="20"/>
                <w:szCs w:val="20"/>
              </w:rPr>
              <w:t xml:space="preserve">A - </w:t>
            </w:r>
            <w:r>
              <w:rPr>
                <w:rFonts w:ascii="Times New Roman" w:hAnsi="Times New Roman" w:cs="Times New Roman"/>
                <w:sz w:val="20"/>
                <w:szCs w:val="20"/>
              </w:rPr>
              <w:t>T</w:t>
            </w:r>
            <w:r w:rsidR="00116E78" w:rsidRPr="000A5736">
              <w:rPr>
                <w:rFonts w:ascii="Times New Roman" w:hAnsi="Times New Roman" w:cs="Times New Roman"/>
                <w:sz w:val="20"/>
                <w:szCs w:val="20"/>
              </w:rPr>
              <w:t>H</w:t>
            </w:r>
          </w:p>
        </w:tc>
        <w:tc>
          <w:tcPr>
            <w:tcW w:w="1708" w:type="dxa"/>
          </w:tcPr>
          <w:p w14:paraId="41528078"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S1 &amp; S5</w:t>
            </w:r>
          </w:p>
        </w:tc>
        <w:tc>
          <w:tcPr>
            <w:tcW w:w="1620" w:type="dxa"/>
          </w:tcPr>
          <w:p w14:paraId="1517427B"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S1 = 225 min</w:t>
            </w:r>
          </w:p>
        </w:tc>
        <w:tc>
          <w:tcPr>
            <w:tcW w:w="1530" w:type="dxa"/>
          </w:tcPr>
          <w:p w14:paraId="385E15B7"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S5 = 255 min</w:t>
            </w:r>
          </w:p>
        </w:tc>
      </w:tr>
      <w:tr w:rsidR="00116E78" w:rsidRPr="000A5736" w14:paraId="183C6AD7" w14:textId="77777777" w:rsidTr="00DF2E0E">
        <w:trPr>
          <w:jc w:val="center"/>
        </w:trPr>
        <w:tc>
          <w:tcPr>
            <w:tcW w:w="1532" w:type="dxa"/>
            <w:shd w:val="clear" w:color="auto" w:fill="D0CECE" w:themeFill="background2" w:themeFillShade="E6"/>
          </w:tcPr>
          <w:p w14:paraId="56725B78" w14:textId="77777777" w:rsidR="00116E78" w:rsidRPr="000A5736" w:rsidRDefault="006220AF" w:rsidP="006220AF">
            <w:pPr>
              <w:jc w:val="center"/>
              <w:rPr>
                <w:rFonts w:ascii="Times New Roman" w:hAnsi="Times New Roman" w:cs="Times New Roman"/>
                <w:sz w:val="20"/>
                <w:szCs w:val="20"/>
              </w:rPr>
            </w:pPr>
            <w:r>
              <w:rPr>
                <w:rFonts w:ascii="Times New Roman" w:hAnsi="Times New Roman" w:cs="Times New Roman"/>
                <w:sz w:val="20"/>
                <w:szCs w:val="20"/>
              </w:rPr>
              <w:t>T</w:t>
            </w:r>
            <w:r w:rsidR="00116E78" w:rsidRPr="000A5736">
              <w:rPr>
                <w:rFonts w:ascii="Times New Roman" w:hAnsi="Times New Roman" w:cs="Times New Roman"/>
                <w:sz w:val="20"/>
                <w:szCs w:val="20"/>
              </w:rPr>
              <w:t xml:space="preserve">I - </w:t>
            </w:r>
            <w:r>
              <w:rPr>
                <w:rFonts w:ascii="Times New Roman" w:hAnsi="Times New Roman" w:cs="Times New Roman"/>
                <w:sz w:val="20"/>
                <w:szCs w:val="20"/>
              </w:rPr>
              <w:t>T</w:t>
            </w:r>
            <w:r w:rsidR="00116E78" w:rsidRPr="000A5736">
              <w:rPr>
                <w:rFonts w:ascii="Times New Roman" w:hAnsi="Times New Roman" w:cs="Times New Roman"/>
                <w:sz w:val="20"/>
                <w:szCs w:val="20"/>
              </w:rPr>
              <w:t>L</w:t>
            </w:r>
          </w:p>
        </w:tc>
        <w:tc>
          <w:tcPr>
            <w:tcW w:w="1708" w:type="dxa"/>
          </w:tcPr>
          <w:p w14:paraId="7C2BDEF6"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S2 &amp; S4</w:t>
            </w:r>
          </w:p>
        </w:tc>
        <w:tc>
          <w:tcPr>
            <w:tcW w:w="1620" w:type="dxa"/>
          </w:tcPr>
          <w:p w14:paraId="3A157170"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S2 = 30 min</w:t>
            </w:r>
          </w:p>
        </w:tc>
        <w:tc>
          <w:tcPr>
            <w:tcW w:w="1530" w:type="dxa"/>
          </w:tcPr>
          <w:p w14:paraId="63ADA915"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S4 = 50 min</w:t>
            </w:r>
          </w:p>
        </w:tc>
      </w:tr>
      <w:tr w:rsidR="00116E78" w:rsidRPr="000A5736" w14:paraId="72914F25" w14:textId="77777777" w:rsidTr="00DF2E0E">
        <w:trPr>
          <w:jc w:val="center"/>
        </w:trPr>
        <w:tc>
          <w:tcPr>
            <w:tcW w:w="1532" w:type="dxa"/>
            <w:shd w:val="clear" w:color="auto" w:fill="D0CECE" w:themeFill="background2" w:themeFillShade="E6"/>
          </w:tcPr>
          <w:p w14:paraId="60DB7645" w14:textId="77777777" w:rsidR="00116E78" w:rsidRPr="000A5736" w:rsidRDefault="006220AF" w:rsidP="006220AF">
            <w:pPr>
              <w:jc w:val="center"/>
              <w:rPr>
                <w:rFonts w:ascii="Times New Roman" w:hAnsi="Times New Roman" w:cs="Times New Roman"/>
                <w:sz w:val="20"/>
                <w:szCs w:val="20"/>
              </w:rPr>
            </w:pPr>
            <w:r>
              <w:rPr>
                <w:rFonts w:ascii="Times New Roman" w:hAnsi="Times New Roman" w:cs="Times New Roman"/>
                <w:sz w:val="20"/>
                <w:szCs w:val="20"/>
              </w:rPr>
              <w:t>T</w:t>
            </w:r>
            <w:r w:rsidR="00116E78" w:rsidRPr="000A5736">
              <w:rPr>
                <w:rFonts w:ascii="Times New Roman" w:hAnsi="Times New Roman" w:cs="Times New Roman"/>
                <w:sz w:val="20"/>
                <w:szCs w:val="20"/>
              </w:rPr>
              <w:t xml:space="preserve">M - </w:t>
            </w:r>
            <w:r>
              <w:rPr>
                <w:rFonts w:ascii="Times New Roman" w:hAnsi="Times New Roman" w:cs="Times New Roman"/>
                <w:sz w:val="20"/>
                <w:szCs w:val="20"/>
              </w:rPr>
              <w:t>T</w:t>
            </w:r>
            <w:r w:rsidR="00116E78" w:rsidRPr="000A5736">
              <w:rPr>
                <w:rFonts w:ascii="Times New Roman" w:hAnsi="Times New Roman" w:cs="Times New Roman"/>
                <w:sz w:val="20"/>
                <w:szCs w:val="20"/>
              </w:rPr>
              <w:t>T</w:t>
            </w:r>
          </w:p>
        </w:tc>
        <w:tc>
          <w:tcPr>
            <w:tcW w:w="1708" w:type="dxa"/>
          </w:tcPr>
          <w:p w14:paraId="5E552FCC"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S3 &amp; S6</w:t>
            </w:r>
          </w:p>
        </w:tc>
        <w:tc>
          <w:tcPr>
            <w:tcW w:w="1620" w:type="dxa"/>
          </w:tcPr>
          <w:p w14:paraId="0517932F"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S3 = 55 min</w:t>
            </w:r>
          </w:p>
        </w:tc>
        <w:tc>
          <w:tcPr>
            <w:tcW w:w="1530" w:type="dxa"/>
          </w:tcPr>
          <w:p w14:paraId="74761F07" w14:textId="77777777" w:rsidR="00116E78" w:rsidRPr="000A5736" w:rsidRDefault="00116E78" w:rsidP="00605B0F">
            <w:pPr>
              <w:jc w:val="center"/>
              <w:rPr>
                <w:rFonts w:ascii="Times New Roman" w:hAnsi="Times New Roman" w:cs="Times New Roman"/>
                <w:sz w:val="20"/>
                <w:szCs w:val="20"/>
              </w:rPr>
            </w:pPr>
            <w:r w:rsidRPr="000A5736">
              <w:rPr>
                <w:rFonts w:ascii="Times New Roman" w:hAnsi="Times New Roman" w:cs="Times New Roman"/>
                <w:sz w:val="20"/>
                <w:szCs w:val="20"/>
              </w:rPr>
              <w:t>S6 = 10 min</w:t>
            </w:r>
          </w:p>
        </w:tc>
      </w:tr>
    </w:tbl>
    <w:p w14:paraId="4B96252B" w14:textId="77777777" w:rsidR="0071666D" w:rsidRPr="000A5736" w:rsidRDefault="0071666D" w:rsidP="0071666D">
      <w:pPr>
        <w:rPr>
          <w:rFonts w:ascii="Times New Roman" w:hAnsi="Times New Roman" w:cs="Times New Roman"/>
          <w:sz w:val="20"/>
          <w:szCs w:val="20"/>
        </w:rPr>
      </w:pPr>
    </w:p>
    <w:p w14:paraId="5A1CBDA8" w14:textId="21FE3C87" w:rsidR="0071666D" w:rsidRPr="000A5736" w:rsidRDefault="00CB261B" w:rsidP="00F839D0">
      <w:pPr>
        <w:rPr>
          <w:rFonts w:ascii="Times New Roman" w:hAnsi="Times New Roman" w:cs="Times New Roman"/>
          <w:sz w:val="20"/>
          <w:szCs w:val="20"/>
        </w:rPr>
      </w:pPr>
      <w:r w:rsidRPr="000A5736">
        <w:rPr>
          <w:rFonts w:ascii="Times New Roman" w:hAnsi="Times New Roman" w:cs="Times New Roman"/>
          <w:sz w:val="20"/>
          <w:szCs w:val="20"/>
        </w:rPr>
        <w:t xml:space="preserve">The fab uses dynamic scheduling/dispatching where wafer lots are matched with tools by solving a dynamic integer programming problem </w:t>
      </w:r>
      <w:r w:rsidRPr="00DF2E0E">
        <w:rPr>
          <w:rFonts w:ascii="Times New Roman" w:hAnsi="Times New Roman" w:cs="Times New Roman"/>
          <w:sz w:val="20"/>
          <w:szCs w:val="20"/>
          <w:highlight w:val="yellow"/>
        </w:rPr>
        <w:t>[</w:t>
      </w:r>
      <w:r w:rsidR="005A27EE">
        <w:rPr>
          <w:rFonts w:ascii="Times New Roman" w:hAnsi="Times New Roman" w:cs="Times New Roman"/>
          <w:sz w:val="20"/>
          <w:szCs w:val="20"/>
          <w:highlight w:val="yellow"/>
        </w:rPr>
        <w:t>4</w:t>
      </w:r>
      <w:r w:rsidRPr="00DF2E0E">
        <w:rPr>
          <w:rFonts w:ascii="Times New Roman" w:hAnsi="Times New Roman" w:cs="Times New Roman"/>
          <w:sz w:val="20"/>
          <w:szCs w:val="20"/>
          <w:highlight w:val="yellow"/>
        </w:rPr>
        <w:t>]</w:t>
      </w:r>
      <w:r w:rsidRPr="000A5736">
        <w:rPr>
          <w:rFonts w:ascii="Times New Roman" w:hAnsi="Times New Roman" w:cs="Times New Roman"/>
          <w:sz w:val="20"/>
          <w:szCs w:val="20"/>
        </w:rPr>
        <w:t xml:space="preserve">. </w:t>
      </w:r>
      <w:r w:rsidR="004A2AC7" w:rsidRPr="000A5736">
        <w:rPr>
          <w:rFonts w:ascii="Times New Roman" w:hAnsi="Times New Roman" w:cs="Times New Roman"/>
          <w:sz w:val="20"/>
          <w:szCs w:val="20"/>
        </w:rPr>
        <w:t xml:space="preserve">Wafer lots are assigned to tools </w:t>
      </w:r>
      <w:r w:rsidR="0071666D" w:rsidRPr="000A5736">
        <w:rPr>
          <w:rFonts w:ascii="Times New Roman" w:hAnsi="Times New Roman" w:cs="Times New Roman"/>
          <w:sz w:val="20"/>
          <w:szCs w:val="20"/>
        </w:rPr>
        <w:t>based on</w:t>
      </w:r>
      <w:r w:rsidR="007429AD" w:rsidRPr="000A5736">
        <w:rPr>
          <w:rFonts w:ascii="Times New Roman" w:hAnsi="Times New Roman" w:cs="Times New Roman"/>
          <w:sz w:val="20"/>
          <w:szCs w:val="20"/>
        </w:rPr>
        <w:t xml:space="preserve"> </w:t>
      </w:r>
      <w:r w:rsidR="0071666D" w:rsidRPr="000A5736">
        <w:rPr>
          <w:rFonts w:ascii="Times New Roman" w:hAnsi="Times New Roman" w:cs="Times New Roman"/>
          <w:sz w:val="20"/>
          <w:szCs w:val="20"/>
        </w:rPr>
        <w:t xml:space="preserve">the cost </w:t>
      </w:r>
      <w:r w:rsidR="0071666D" w:rsidRPr="000A5736">
        <w:rPr>
          <w:rFonts w:ascii="Times New Roman" w:hAnsi="Times New Roman" w:cs="Times New Roman"/>
          <w:i/>
          <w:sz w:val="20"/>
          <w:szCs w:val="20"/>
        </w:rPr>
        <w:t>c</w:t>
      </w:r>
      <w:r w:rsidR="0071666D" w:rsidRPr="000A5736">
        <w:rPr>
          <w:rFonts w:ascii="Times New Roman" w:hAnsi="Times New Roman" w:cs="Times New Roman"/>
          <w:sz w:val="20"/>
          <w:szCs w:val="20"/>
        </w:rPr>
        <w:t xml:space="preserve"> of tools </w:t>
      </w:r>
      <w:r w:rsidR="0071666D" w:rsidRPr="000A5736">
        <w:rPr>
          <w:rFonts w:ascii="Times New Roman" w:hAnsi="Times New Roman" w:cs="Times New Roman"/>
          <w:i/>
          <w:sz w:val="20"/>
          <w:szCs w:val="20"/>
        </w:rPr>
        <w:t>j</w:t>
      </w:r>
      <w:r w:rsidR="00727E06">
        <w:rPr>
          <w:rFonts w:ascii="Times New Roman" w:hAnsi="Times New Roman" w:cs="Times New Roman"/>
          <w:sz w:val="20"/>
          <w:szCs w:val="20"/>
        </w:rPr>
        <w:t xml:space="preserve"> at time </w:t>
      </w:r>
      <w:r w:rsidR="00727E06">
        <w:rPr>
          <w:rFonts w:ascii="Times New Roman" w:hAnsi="Times New Roman" w:cs="Times New Roman"/>
          <w:i/>
          <w:sz w:val="20"/>
          <w:szCs w:val="20"/>
        </w:rPr>
        <w:t>t</w:t>
      </w:r>
      <w:r w:rsidR="0071666D" w:rsidRPr="000A5736">
        <w:rPr>
          <w:rFonts w:ascii="Times New Roman" w:hAnsi="Times New Roman" w:cs="Times New Roman"/>
          <w:i/>
          <w:sz w:val="20"/>
          <w:szCs w:val="20"/>
        </w:rPr>
        <w:t>,</w:t>
      </w:r>
      <w:r w:rsidR="0071666D" w:rsidRPr="000A5736">
        <w:rPr>
          <w:rFonts w:ascii="Times New Roman" w:hAnsi="Times New Roman" w:cs="Times New Roman"/>
          <w:sz w:val="20"/>
          <w:szCs w:val="20"/>
        </w:rPr>
        <w:t xml:space="preserve"> defined </w:t>
      </w:r>
      <w:r w:rsidR="00B427AC">
        <w:rPr>
          <w:rFonts w:ascii="Times New Roman" w:hAnsi="Times New Roman" w:cs="Times New Roman"/>
          <w:sz w:val="20"/>
          <w:szCs w:val="20"/>
        </w:rPr>
        <w:t xml:space="preserve">in equation (1). </w:t>
      </w:r>
      <w:r w:rsidR="00D24861">
        <w:rPr>
          <w:rFonts w:ascii="Times New Roman" w:hAnsi="Times New Roman" w:cs="Times New Roman"/>
          <w:sz w:val="20"/>
          <w:szCs w:val="20"/>
        </w:rPr>
        <w:t xml:space="preserve">The cost of a tool is a weighted sum of </w:t>
      </w:r>
      <w:proofErr w:type="spellStart"/>
      <w:r w:rsidR="00727E06" w:rsidRPr="00C16C61">
        <w:rPr>
          <w:rFonts w:ascii="Times New Roman" w:hAnsi="Times New Roman" w:cs="Times New Roman"/>
          <w:i/>
          <w:sz w:val="20"/>
          <w:szCs w:val="20"/>
        </w:rPr>
        <w:t>f</w:t>
      </w:r>
      <w:r w:rsidR="00727E06" w:rsidRPr="00C16C61">
        <w:rPr>
          <w:rFonts w:ascii="Times New Roman" w:hAnsi="Times New Roman" w:cs="Times New Roman"/>
          <w:i/>
          <w:sz w:val="20"/>
          <w:szCs w:val="20"/>
          <w:vertAlign w:val="subscript"/>
        </w:rPr>
        <w:t>ij</w:t>
      </w:r>
      <w:proofErr w:type="spellEnd"/>
      <w:r w:rsidR="00727E06">
        <w:rPr>
          <w:rFonts w:ascii="Times New Roman" w:hAnsi="Times New Roman" w:cs="Times New Roman"/>
          <w:sz w:val="20"/>
          <w:szCs w:val="20"/>
        </w:rPr>
        <w:t xml:space="preserve">, where </w:t>
      </w:r>
      <w:r w:rsidR="00727E06" w:rsidRPr="00727E06">
        <w:rPr>
          <w:rFonts w:ascii="Times New Roman" w:hAnsi="Times New Roman" w:cs="Times New Roman"/>
          <w:i/>
          <w:sz w:val="20"/>
          <w:szCs w:val="20"/>
        </w:rPr>
        <w:t>i</w:t>
      </w:r>
      <w:r w:rsidR="00727E06">
        <w:rPr>
          <w:rFonts w:ascii="Times New Roman" w:hAnsi="Times New Roman" w:cs="Times New Roman"/>
          <w:sz w:val="20"/>
          <w:szCs w:val="20"/>
        </w:rPr>
        <w:t xml:space="preserve"> denotes the factor and </w:t>
      </w:r>
      <w:r w:rsidR="00727E06">
        <w:rPr>
          <w:rFonts w:ascii="Times New Roman" w:hAnsi="Times New Roman" w:cs="Times New Roman"/>
          <w:i/>
          <w:sz w:val="20"/>
          <w:szCs w:val="20"/>
        </w:rPr>
        <w:t>j</w:t>
      </w:r>
      <w:r w:rsidR="00727E06">
        <w:rPr>
          <w:rFonts w:ascii="Times New Roman" w:hAnsi="Times New Roman" w:cs="Times New Roman"/>
          <w:sz w:val="20"/>
          <w:szCs w:val="20"/>
        </w:rPr>
        <w:t xml:space="preserve"> </w:t>
      </w:r>
      <w:r w:rsidR="00F839D0">
        <w:rPr>
          <w:rFonts w:ascii="Times New Roman" w:hAnsi="Times New Roman" w:cs="Times New Roman"/>
          <w:sz w:val="20"/>
          <w:szCs w:val="20"/>
        </w:rPr>
        <w:t>the tool. Factors in equation (1) may</w:t>
      </w:r>
      <w:r w:rsidR="00D24861">
        <w:rPr>
          <w:rFonts w:ascii="Times New Roman" w:hAnsi="Times New Roman" w:cs="Times New Roman"/>
          <w:sz w:val="20"/>
          <w:szCs w:val="20"/>
        </w:rPr>
        <w:t xml:space="preserve"> correspond to the recommended factors for scheduling appl</w:t>
      </w:r>
      <w:r w:rsidR="00C16C61">
        <w:rPr>
          <w:rFonts w:ascii="Times New Roman" w:hAnsi="Times New Roman" w:cs="Times New Roman"/>
          <w:sz w:val="20"/>
          <w:szCs w:val="20"/>
        </w:rPr>
        <w:t xml:space="preserve">ications identified by SEMATECH: </w:t>
      </w:r>
      <w:r w:rsidR="007F092A">
        <w:rPr>
          <w:rFonts w:ascii="Times New Roman" w:hAnsi="Times New Roman" w:cs="Times New Roman"/>
          <w:sz w:val="20"/>
          <w:szCs w:val="20"/>
        </w:rPr>
        <w:t>downtime, setup, yield, and dispatch rule</w:t>
      </w:r>
      <w:r w:rsidR="00C16C61">
        <w:rPr>
          <w:rFonts w:ascii="Times New Roman" w:hAnsi="Times New Roman" w:cs="Times New Roman"/>
          <w:sz w:val="20"/>
          <w:szCs w:val="20"/>
        </w:rPr>
        <w:t xml:space="preserve"> </w:t>
      </w:r>
      <w:r w:rsidR="00C16C61" w:rsidRPr="00D24861">
        <w:rPr>
          <w:rFonts w:ascii="Times New Roman" w:hAnsi="Times New Roman" w:cs="Times New Roman"/>
          <w:sz w:val="20"/>
          <w:szCs w:val="20"/>
          <w:highlight w:val="yellow"/>
        </w:rPr>
        <w:t>[5]</w:t>
      </w:r>
      <w:r w:rsidR="00C16C61">
        <w:rPr>
          <w:rFonts w:ascii="Times New Roman" w:hAnsi="Times New Roman" w:cs="Times New Roman"/>
          <w:sz w:val="20"/>
          <w:szCs w:val="20"/>
        </w:rPr>
        <w:t>.</w:t>
      </w:r>
      <w:r w:rsidR="00D24861">
        <w:rPr>
          <w:rFonts w:ascii="Times New Roman" w:hAnsi="Times New Roman" w:cs="Times New Roman"/>
          <w:sz w:val="20"/>
          <w:szCs w:val="20"/>
        </w:rPr>
        <w:t xml:space="preserve"> Weights</w:t>
      </w:r>
      <w:r w:rsidR="00C16C61">
        <w:rPr>
          <w:rFonts w:ascii="Times New Roman" w:hAnsi="Times New Roman" w:cs="Times New Roman"/>
          <w:sz w:val="20"/>
          <w:szCs w:val="20"/>
        </w:rPr>
        <w:t xml:space="preserve"> </w:t>
      </w:r>
      <w:proofErr w:type="spellStart"/>
      <w:r w:rsidR="00C16C61" w:rsidRPr="00C16C61">
        <w:rPr>
          <w:rFonts w:ascii="Times New Roman" w:hAnsi="Times New Roman" w:cs="Times New Roman"/>
          <w:i/>
          <w:sz w:val="20"/>
          <w:szCs w:val="20"/>
        </w:rPr>
        <w:t>w</w:t>
      </w:r>
      <w:r w:rsidR="00C16C61" w:rsidRPr="00C16C61">
        <w:rPr>
          <w:rFonts w:ascii="Times New Roman" w:hAnsi="Times New Roman" w:cs="Times New Roman"/>
          <w:i/>
          <w:sz w:val="20"/>
          <w:szCs w:val="20"/>
          <w:vertAlign w:val="subscript"/>
        </w:rPr>
        <w:t>i</w:t>
      </w:r>
      <w:proofErr w:type="spellEnd"/>
      <w:r w:rsidR="00D24861">
        <w:rPr>
          <w:rFonts w:ascii="Times New Roman" w:hAnsi="Times New Roman" w:cs="Times New Roman"/>
          <w:sz w:val="20"/>
          <w:szCs w:val="20"/>
        </w:rPr>
        <w:t xml:space="preserve"> are normalized </w:t>
      </w:r>
      <w:r w:rsidR="00C9191B">
        <w:rPr>
          <w:rFonts w:ascii="Times New Roman" w:hAnsi="Times New Roman" w:cs="Times New Roman"/>
          <w:sz w:val="20"/>
          <w:szCs w:val="20"/>
        </w:rPr>
        <w:t>to facilitate the addition or removal of factors.</w:t>
      </w:r>
    </w:p>
    <w:p w14:paraId="1BA4CA79" w14:textId="6CCF2966" w:rsidR="00116E78" w:rsidRPr="000A5736" w:rsidRDefault="0071666D" w:rsidP="0071666D">
      <w:pPr>
        <w:tabs>
          <w:tab w:val="left" w:pos="3330"/>
        </w:tabs>
        <w:rPr>
          <w:rFonts w:ascii="Times New Roman" w:hAnsi="Times New Roman" w:cs="Times New Roman"/>
          <w:sz w:val="20"/>
          <w:szCs w:val="20"/>
        </w:rPr>
      </w:pPr>
      <w:r w:rsidRPr="000A5736">
        <w:rPr>
          <w:rFonts w:ascii="Times New Roman" w:hAnsi="Times New Roman" w:cs="Times New Roman"/>
          <w:sz w:val="20"/>
          <w:szCs w:val="20"/>
        </w:rPr>
        <w:tab/>
      </w:r>
      <w:r w:rsidR="00727E06" w:rsidRPr="005A27EE">
        <w:rPr>
          <w:rFonts w:ascii="Times New Roman" w:hAnsi="Times New Roman" w:cs="Times New Roman"/>
          <w:position w:val="-46"/>
        </w:rPr>
        <w:object w:dxaOrig="2100" w:dyaOrig="840" w14:anchorId="2A3CB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37.2pt" o:ole="">
            <v:imagedata r:id="rId8" o:title=""/>
          </v:shape>
          <o:OLEObject Type="Embed" ProgID="Equation.3" ShapeID="_x0000_i1025" DrawAspect="Content" ObjectID="_1564567863" r:id="rId9"/>
        </w:object>
      </w:r>
      <w:r w:rsidRPr="000A5736">
        <w:rPr>
          <w:rFonts w:ascii="Times New Roman" w:hAnsi="Times New Roman" w:cs="Times New Roman"/>
          <w:sz w:val="20"/>
          <w:szCs w:val="20"/>
        </w:rPr>
        <w:t xml:space="preserve"> </w:t>
      </w:r>
      <w:r w:rsidRPr="000A5736">
        <w:rPr>
          <w:rFonts w:ascii="Times New Roman" w:hAnsi="Times New Roman" w:cs="Times New Roman"/>
          <w:sz w:val="20"/>
          <w:szCs w:val="20"/>
        </w:rPr>
        <w:tab/>
        <w:t>(1)</w:t>
      </w:r>
    </w:p>
    <w:p w14:paraId="1BF841C7" w14:textId="14500519" w:rsidR="0071666D" w:rsidRPr="00480CAA" w:rsidRDefault="00694139" w:rsidP="00F76F4B">
      <w:pPr>
        <w:tabs>
          <w:tab w:val="left" w:pos="3330"/>
        </w:tabs>
        <w:rPr>
          <w:rFonts w:ascii="Times New Roman" w:hAnsi="Times New Roman" w:cs="Times New Roman"/>
          <w:sz w:val="20"/>
          <w:szCs w:val="20"/>
        </w:rPr>
      </w:pPr>
      <w:r w:rsidRPr="000A5736">
        <w:rPr>
          <w:rFonts w:ascii="Times New Roman" w:hAnsi="Times New Roman" w:cs="Times New Roman"/>
          <w:sz w:val="20"/>
          <w:szCs w:val="20"/>
        </w:rPr>
        <w:t>In th</w:t>
      </w:r>
      <w:r w:rsidR="00AD24FE">
        <w:rPr>
          <w:rFonts w:ascii="Times New Roman" w:hAnsi="Times New Roman" w:cs="Times New Roman"/>
          <w:sz w:val="20"/>
          <w:szCs w:val="20"/>
        </w:rPr>
        <w:t xml:space="preserve">e </w:t>
      </w:r>
      <w:r w:rsidR="00AC1259">
        <w:rPr>
          <w:rFonts w:ascii="Times New Roman" w:hAnsi="Times New Roman" w:cs="Times New Roman"/>
          <w:sz w:val="20"/>
          <w:szCs w:val="20"/>
        </w:rPr>
        <w:t xml:space="preserve">extended </w:t>
      </w:r>
      <w:r w:rsidR="00AD24FE">
        <w:rPr>
          <w:rFonts w:ascii="Times New Roman" w:hAnsi="Times New Roman" w:cs="Times New Roman"/>
          <w:sz w:val="20"/>
          <w:szCs w:val="20"/>
        </w:rPr>
        <w:t>Mini-Fab example</w:t>
      </w:r>
      <w:r w:rsidRPr="000A5736">
        <w:rPr>
          <w:rFonts w:ascii="Times New Roman" w:hAnsi="Times New Roman" w:cs="Times New Roman"/>
          <w:sz w:val="20"/>
          <w:szCs w:val="20"/>
        </w:rPr>
        <w:t>, Pb is a high-value wafer type</w:t>
      </w:r>
      <w:r w:rsidR="00E97B46" w:rsidRPr="000A5736">
        <w:rPr>
          <w:rFonts w:ascii="Times New Roman" w:hAnsi="Times New Roman" w:cs="Times New Roman"/>
          <w:sz w:val="20"/>
          <w:szCs w:val="20"/>
        </w:rPr>
        <w:t xml:space="preserve"> where </w:t>
      </w:r>
      <w:r w:rsidR="00BB4D4E">
        <w:rPr>
          <w:rFonts w:ascii="Times New Roman" w:hAnsi="Times New Roman" w:cs="Times New Roman"/>
          <w:sz w:val="20"/>
          <w:szCs w:val="20"/>
        </w:rPr>
        <w:t>scrap</w:t>
      </w:r>
      <w:r w:rsidR="00AC2A54" w:rsidRPr="000A5736">
        <w:rPr>
          <w:rFonts w:ascii="Times New Roman" w:hAnsi="Times New Roman" w:cs="Times New Roman"/>
          <w:sz w:val="20"/>
          <w:szCs w:val="20"/>
        </w:rPr>
        <w:t xml:space="preserve"> results in a large loss</w:t>
      </w:r>
      <w:r w:rsidR="00186879">
        <w:rPr>
          <w:rFonts w:ascii="Times New Roman" w:hAnsi="Times New Roman" w:cs="Times New Roman"/>
          <w:sz w:val="20"/>
          <w:szCs w:val="20"/>
        </w:rPr>
        <w:t xml:space="preserve"> (see Table 2)</w:t>
      </w:r>
      <w:r w:rsidR="00AC2A54" w:rsidRPr="000A5736">
        <w:rPr>
          <w:rFonts w:ascii="Times New Roman" w:hAnsi="Times New Roman" w:cs="Times New Roman"/>
          <w:sz w:val="20"/>
          <w:szCs w:val="20"/>
        </w:rPr>
        <w:t xml:space="preserve">. </w:t>
      </w:r>
      <w:r w:rsidR="00480CAA">
        <w:rPr>
          <w:rFonts w:ascii="Times New Roman" w:hAnsi="Times New Roman" w:cs="Times New Roman"/>
          <w:sz w:val="20"/>
          <w:szCs w:val="20"/>
        </w:rPr>
        <w:t xml:space="preserve">Such large losses may be prevented by incorporating tool capability in scheduling to ensure that high-value lots are </w:t>
      </w:r>
      <w:r w:rsidR="00480CAA">
        <w:rPr>
          <w:rFonts w:ascii="Times New Roman" w:hAnsi="Times New Roman" w:cs="Times New Roman"/>
          <w:sz w:val="20"/>
          <w:szCs w:val="20"/>
        </w:rPr>
        <w:lastRenderedPageBreak/>
        <w:t>matched with high-capability tools. Tool capability is quantified with the process capability index (</w:t>
      </w:r>
      <w:proofErr w:type="spellStart"/>
      <w:r w:rsidR="00480CAA">
        <w:rPr>
          <w:rFonts w:ascii="Times New Roman" w:hAnsi="Times New Roman" w:cs="Times New Roman"/>
          <w:sz w:val="20"/>
          <w:szCs w:val="20"/>
        </w:rPr>
        <w:t>Cpk</w:t>
      </w:r>
      <w:proofErr w:type="spellEnd"/>
      <w:r w:rsidR="00480CAA">
        <w:rPr>
          <w:rFonts w:ascii="Times New Roman" w:hAnsi="Times New Roman" w:cs="Times New Roman"/>
          <w:sz w:val="20"/>
          <w:szCs w:val="20"/>
        </w:rPr>
        <w:t xml:space="preserve">), estimated in a lot-by-lot manner for every tool in the fab. Six sigma conversion tables are used to relate the </w:t>
      </w:r>
      <w:proofErr w:type="spellStart"/>
      <w:r w:rsidR="00480CAA">
        <w:rPr>
          <w:rFonts w:ascii="Times New Roman" w:hAnsi="Times New Roman" w:cs="Times New Roman"/>
          <w:sz w:val="20"/>
          <w:szCs w:val="20"/>
        </w:rPr>
        <w:t>Cpk</w:t>
      </w:r>
      <w:proofErr w:type="spellEnd"/>
      <w:r w:rsidR="00480CAA">
        <w:rPr>
          <w:rFonts w:ascii="Times New Roman" w:hAnsi="Times New Roman" w:cs="Times New Roman"/>
          <w:sz w:val="20"/>
          <w:szCs w:val="20"/>
        </w:rPr>
        <w:t xml:space="preserve"> of tools in the fab to estimated yield in Table 3 </w:t>
      </w:r>
      <w:r w:rsidR="00480CAA" w:rsidRPr="0077734E">
        <w:rPr>
          <w:rFonts w:ascii="Times New Roman" w:hAnsi="Times New Roman" w:cs="Times New Roman"/>
          <w:sz w:val="20"/>
          <w:szCs w:val="20"/>
          <w:highlight w:val="yellow"/>
        </w:rPr>
        <w:t>[6]</w:t>
      </w:r>
      <w:r w:rsidR="00480CAA">
        <w:rPr>
          <w:rFonts w:ascii="Times New Roman" w:hAnsi="Times New Roman" w:cs="Times New Roman"/>
          <w:sz w:val="20"/>
          <w:szCs w:val="20"/>
        </w:rPr>
        <w:t>.</w:t>
      </w:r>
    </w:p>
    <w:p w14:paraId="1E001D27" w14:textId="77777777" w:rsidR="00737C9C" w:rsidRPr="000A5736" w:rsidRDefault="00737C9C" w:rsidP="00737C9C">
      <w:pPr>
        <w:tabs>
          <w:tab w:val="left" w:pos="3330"/>
        </w:tabs>
        <w:jc w:val="center"/>
        <w:rPr>
          <w:rFonts w:ascii="Times New Roman" w:hAnsi="Times New Roman" w:cs="Times New Roman"/>
          <w:sz w:val="20"/>
          <w:szCs w:val="20"/>
        </w:rPr>
      </w:pPr>
      <w:r w:rsidRPr="000A5736">
        <w:rPr>
          <w:rFonts w:ascii="Times New Roman" w:hAnsi="Times New Roman" w:cs="Times New Roman"/>
          <w:b/>
          <w:sz w:val="20"/>
          <w:szCs w:val="20"/>
        </w:rPr>
        <w:t>Table 2.</w:t>
      </w:r>
      <w:r w:rsidRPr="000A5736">
        <w:rPr>
          <w:rFonts w:ascii="Times New Roman" w:hAnsi="Times New Roman" w:cs="Times New Roman"/>
          <w:sz w:val="20"/>
          <w:szCs w:val="20"/>
        </w:rPr>
        <w:t xml:space="preserve"> Revenue and scrap loss for wafer lot types.</w:t>
      </w:r>
    </w:p>
    <w:tbl>
      <w:tblPr>
        <w:tblStyle w:val="TableGrid"/>
        <w:tblW w:w="0" w:type="auto"/>
        <w:jc w:val="center"/>
        <w:tblLook w:val="04A0" w:firstRow="1" w:lastRow="0" w:firstColumn="1" w:lastColumn="0" w:noHBand="0" w:noVBand="1"/>
      </w:tblPr>
      <w:tblGrid>
        <w:gridCol w:w="1008"/>
        <w:gridCol w:w="1530"/>
        <w:gridCol w:w="1620"/>
      </w:tblGrid>
      <w:tr w:rsidR="00737C9C" w:rsidRPr="000A5736" w14:paraId="6E6EDBED" w14:textId="77777777" w:rsidTr="00944239">
        <w:trPr>
          <w:jc w:val="center"/>
        </w:trPr>
        <w:tc>
          <w:tcPr>
            <w:tcW w:w="1008" w:type="dxa"/>
          </w:tcPr>
          <w:p w14:paraId="056B1AF1" w14:textId="77777777" w:rsidR="00737C9C" w:rsidRPr="000A5736" w:rsidRDefault="00737C9C" w:rsidP="00944239">
            <w:pPr>
              <w:jc w:val="center"/>
              <w:rPr>
                <w:rFonts w:ascii="Times New Roman" w:hAnsi="Times New Roman" w:cs="Times New Roman"/>
                <w:sz w:val="18"/>
                <w:szCs w:val="18"/>
              </w:rPr>
            </w:pPr>
          </w:p>
        </w:tc>
        <w:tc>
          <w:tcPr>
            <w:tcW w:w="1530" w:type="dxa"/>
            <w:shd w:val="clear" w:color="auto" w:fill="D9D9D9" w:themeFill="background1" w:themeFillShade="D9"/>
          </w:tcPr>
          <w:p w14:paraId="78F544BF" w14:textId="77777777" w:rsidR="00737C9C" w:rsidRPr="000A5736" w:rsidRDefault="00737C9C" w:rsidP="00944239">
            <w:pPr>
              <w:jc w:val="center"/>
              <w:rPr>
                <w:rFonts w:ascii="Times New Roman" w:hAnsi="Times New Roman" w:cs="Times New Roman"/>
                <w:sz w:val="18"/>
                <w:szCs w:val="18"/>
              </w:rPr>
            </w:pPr>
            <w:r w:rsidRPr="000A5736">
              <w:rPr>
                <w:rFonts w:ascii="Times New Roman" w:hAnsi="Times New Roman" w:cs="Times New Roman"/>
                <w:sz w:val="18"/>
                <w:szCs w:val="18"/>
              </w:rPr>
              <w:t>Revenue (US $)</w:t>
            </w:r>
          </w:p>
        </w:tc>
        <w:tc>
          <w:tcPr>
            <w:tcW w:w="1620" w:type="dxa"/>
            <w:shd w:val="clear" w:color="auto" w:fill="D9D9D9" w:themeFill="background1" w:themeFillShade="D9"/>
          </w:tcPr>
          <w:p w14:paraId="745B523D" w14:textId="77777777" w:rsidR="00737C9C" w:rsidRPr="000A5736" w:rsidRDefault="00737C9C" w:rsidP="00944239">
            <w:pPr>
              <w:jc w:val="center"/>
              <w:rPr>
                <w:rFonts w:ascii="Times New Roman" w:hAnsi="Times New Roman" w:cs="Times New Roman"/>
                <w:sz w:val="18"/>
                <w:szCs w:val="18"/>
              </w:rPr>
            </w:pPr>
            <w:r w:rsidRPr="000A5736">
              <w:rPr>
                <w:rFonts w:ascii="Times New Roman" w:hAnsi="Times New Roman" w:cs="Times New Roman"/>
                <w:sz w:val="18"/>
                <w:szCs w:val="18"/>
              </w:rPr>
              <w:t>Scrap loss (US $)</w:t>
            </w:r>
          </w:p>
        </w:tc>
      </w:tr>
      <w:tr w:rsidR="00737C9C" w:rsidRPr="000A5736" w14:paraId="2FF018F2" w14:textId="77777777" w:rsidTr="00944239">
        <w:trPr>
          <w:jc w:val="center"/>
        </w:trPr>
        <w:tc>
          <w:tcPr>
            <w:tcW w:w="1008" w:type="dxa"/>
            <w:shd w:val="clear" w:color="auto" w:fill="D9D9D9" w:themeFill="background1" w:themeFillShade="D9"/>
          </w:tcPr>
          <w:p w14:paraId="2DF81759" w14:textId="77777777" w:rsidR="00737C9C" w:rsidRPr="000A5736" w:rsidRDefault="00737C9C" w:rsidP="00944239">
            <w:pPr>
              <w:jc w:val="center"/>
              <w:rPr>
                <w:rFonts w:ascii="Times New Roman" w:hAnsi="Times New Roman" w:cs="Times New Roman"/>
                <w:sz w:val="18"/>
                <w:szCs w:val="18"/>
              </w:rPr>
            </w:pPr>
            <w:r w:rsidRPr="000A5736">
              <w:rPr>
                <w:rFonts w:ascii="Times New Roman" w:hAnsi="Times New Roman" w:cs="Times New Roman"/>
                <w:sz w:val="18"/>
                <w:szCs w:val="18"/>
              </w:rPr>
              <w:t>Pa</w:t>
            </w:r>
          </w:p>
        </w:tc>
        <w:tc>
          <w:tcPr>
            <w:tcW w:w="1530" w:type="dxa"/>
          </w:tcPr>
          <w:p w14:paraId="21A47BBD" w14:textId="77777777" w:rsidR="00737C9C" w:rsidRPr="000A5736" w:rsidRDefault="00737C9C" w:rsidP="00944239">
            <w:pPr>
              <w:jc w:val="center"/>
              <w:rPr>
                <w:rFonts w:ascii="Times New Roman" w:hAnsi="Times New Roman" w:cs="Times New Roman"/>
                <w:sz w:val="18"/>
                <w:szCs w:val="18"/>
              </w:rPr>
            </w:pPr>
            <w:r w:rsidRPr="000A5736">
              <w:rPr>
                <w:rFonts w:ascii="Times New Roman" w:hAnsi="Times New Roman" w:cs="Times New Roman"/>
                <w:sz w:val="18"/>
                <w:szCs w:val="18"/>
              </w:rPr>
              <w:t>1000</w:t>
            </w:r>
          </w:p>
        </w:tc>
        <w:tc>
          <w:tcPr>
            <w:tcW w:w="1620" w:type="dxa"/>
          </w:tcPr>
          <w:p w14:paraId="3E2BC34C" w14:textId="72EA6B05" w:rsidR="00737C9C" w:rsidRPr="000A5736" w:rsidRDefault="00092AE3" w:rsidP="00944239">
            <w:pPr>
              <w:jc w:val="center"/>
              <w:rPr>
                <w:rFonts w:ascii="Times New Roman" w:hAnsi="Times New Roman" w:cs="Times New Roman"/>
                <w:sz w:val="18"/>
                <w:szCs w:val="18"/>
              </w:rPr>
            </w:pPr>
            <w:r>
              <w:rPr>
                <w:rFonts w:ascii="Times New Roman" w:hAnsi="Times New Roman" w:cs="Times New Roman"/>
                <w:sz w:val="18"/>
                <w:szCs w:val="18"/>
              </w:rPr>
              <w:t>-</w:t>
            </w:r>
            <w:r w:rsidR="00737C9C" w:rsidRPr="000A5736">
              <w:rPr>
                <w:rFonts w:ascii="Times New Roman" w:hAnsi="Times New Roman" w:cs="Times New Roman"/>
                <w:sz w:val="18"/>
                <w:szCs w:val="18"/>
              </w:rPr>
              <w:t>200</w:t>
            </w:r>
          </w:p>
        </w:tc>
      </w:tr>
      <w:tr w:rsidR="00737C9C" w:rsidRPr="000A5736" w14:paraId="7921BFB9" w14:textId="77777777" w:rsidTr="00944239">
        <w:trPr>
          <w:jc w:val="center"/>
        </w:trPr>
        <w:tc>
          <w:tcPr>
            <w:tcW w:w="1008" w:type="dxa"/>
            <w:shd w:val="clear" w:color="auto" w:fill="D9D9D9" w:themeFill="background1" w:themeFillShade="D9"/>
          </w:tcPr>
          <w:p w14:paraId="28F9C9B1" w14:textId="77777777" w:rsidR="00737C9C" w:rsidRPr="000A5736" w:rsidRDefault="00737C9C" w:rsidP="00944239">
            <w:pPr>
              <w:jc w:val="center"/>
              <w:rPr>
                <w:rFonts w:ascii="Times New Roman" w:hAnsi="Times New Roman" w:cs="Times New Roman"/>
                <w:sz w:val="18"/>
                <w:szCs w:val="18"/>
              </w:rPr>
            </w:pPr>
            <w:r w:rsidRPr="000A5736">
              <w:rPr>
                <w:rFonts w:ascii="Times New Roman" w:hAnsi="Times New Roman" w:cs="Times New Roman"/>
                <w:sz w:val="18"/>
                <w:szCs w:val="18"/>
              </w:rPr>
              <w:t>Pb</w:t>
            </w:r>
          </w:p>
        </w:tc>
        <w:tc>
          <w:tcPr>
            <w:tcW w:w="1530" w:type="dxa"/>
          </w:tcPr>
          <w:p w14:paraId="11BB539C" w14:textId="77777777" w:rsidR="00737C9C" w:rsidRPr="000A5736" w:rsidRDefault="00737C9C" w:rsidP="00944239">
            <w:pPr>
              <w:jc w:val="center"/>
              <w:rPr>
                <w:rFonts w:ascii="Times New Roman" w:hAnsi="Times New Roman" w:cs="Times New Roman"/>
                <w:sz w:val="18"/>
                <w:szCs w:val="18"/>
              </w:rPr>
            </w:pPr>
            <w:r w:rsidRPr="000A5736">
              <w:rPr>
                <w:rFonts w:ascii="Times New Roman" w:hAnsi="Times New Roman" w:cs="Times New Roman"/>
                <w:sz w:val="18"/>
                <w:szCs w:val="18"/>
              </w:rPr>
              <w:t>5000</w:t>
            </w:r>
          </w:p>
        </w:tc>
        <w:tc>
          <w:tcPr>
            <w:tcW w:w="1620" w:type="dxa"/>
          </w:tcPr>
          <w:p w14:paraId="5A834603" w14:textId="26189F3F" w:rsidR="00737C9C" w:rsidRPr="000A5736" w:rsidRDefault="00092AE3" w:rsidP="00944239">
            <w:pPr>
              <w:jc w:val="center"/>
              <w:rPr>
                <w:rFonts w:ascii="Times New Roman" w:hAnsi="Times New Roman" w:cs="Times New Roman"/>
                <w:sz w:val="18"/>
                <w:szCs w:val="18"/>
              </w:rPr>
            </w:pPr>
            <w:r>
              <w:rPr>
                <w:rFonts w:ascii="Times New Roman" w:hAnsi="Times New Roman" w:cs="Times New Roman"/>
                <w:sz w:val="18"/>
                <w:szCs w:val="18"/>
              </w:rPr>
              <w:t>-</w:t>
            </w:r>
            <w:r w:rsidR="00737C9C" w:rsidRPr="000A5736">
              <w:rPr>
                <w:rFonts w:ascii="Times New Roman" w:hAnsi="Times New Roman" w:cs="Times New Roman"/>
                <w:sz w:val="18"/>
                <w:szCs w:val="18"/>
              </w:rPr>
              <w:t>1000</w:t>
            </w:r>
          </w:p>
        </w:tc>
      </w:tr>
    </w:tbl>
    <w:p w14:paraId="1EC505DC" w14:textId="77777777" w:rsidR="00737C9C" w:rsidRPr="000A5736" w:rsidRDefault="00737C9C" w:rsidP="0071666D">
      <w:pPr>
        <w:tabs>
          <w:tab w:val="left" w:pos="3330"/>
        </w:tabs>
        <w:rPr>
          <w:rFonts w:ascii="Times New Roman" w:hAnsi="Times New Roman" w:cs="Times New Roman"/>
          <w:sz w:val="20"/>
          <w:szCs w:val="20"/>
        </w:rPr>
      </w:pPr>
    </w:p>
    <w:p w14:paraId="1B239EF8" w14:textId="77777777" w:rsidR="007B0CA6" w:rsidRPr="000A5736" w:rsidRDefault="007B0CA6" w:rsidP="007B0CA6">
      <w:pPr>
        <w:tabs>
          <w:tab w:val="left" w:pos="3330"/>
        </w:tabs>
        <w:jc w:val="center"/>
        <w:rPr>
          <w:rFonts w:ascii="Times New Roman" w:hAnsi="Times New Roman" w:cs="Times New Roman"/>
          <w:sz w:val="20"/>
          <w:szCs w:val="20"/>
        </w:rPr>
      </w:pPr>
      <w:r w:rsidRPr="000A5736">
        <w:rPr>
          <w:rFonts w:ascii="Times New Roman" w:hAnsi="Times New Roman" w:cs="Times New Roman"/>
          <w:b/>
          <w:sz w:val="20"/>
          <w:szCs w:val="20"/>
        </w:rPr>
        <w:t xml:space="preserve">Table </w:t>
      </w:r>
      <w:r w:rsidR="0078000A">
        <w:rPr>
          <w:rFonts w:ascii="Times New Roman" w:hAnsi="Times New Roman" w:cs="Times New Roman"/>
          <w:b/>
          <w:sz w:val="20"/>
          <w:szCs w:val="20"/>
        </w:rPr>
        <w:t>3</w:t>
      </w:r>
      <w:r w:rsidRPr="000A5736">
        <w:rPr>
          <w:rFonts w:ascii="Times New Roman" w:hAnsi="Times New Roman" w:cs="Times New Roman"/>
          <w:b/>
          <w:sz w:val="20"/>
          <w:szCs w:val="20"/>
        </w:rPr>
        <w:t>.</w:t>
      </w:r>
      <w:r w:rsidRPr="000A5736">
        <w:rPr>
          <w:rFonts w:ascii="Times New Roman" w:hAnsi="Times New Roman" w:cs="Times New Roman"/>
          <w:sz w:val="20"/>
          <w:szCs w:val="20"/>
        </w:rPr>
        <w:t xml:space="preserve"> </w:t>
      </w:r>
      <w:r w:rsidR="00342E0C">
        <w:rPr>
          <w:rFonts w:ascii="Times New Roman" w:hAnsi="Times New Roman" w:cs="Times New Roman"/>
          <w:sz w:val="20"/>
          <w:szCs w:val="20"/>
        </w:rPr>
        <w:t>Equipment</w:t>
      </w:r>
      <w:r w:rsidR="008655B5">
        <w:rPr>
          <w:rFonts w:ascii="Times New Roman" w:hAnsi="Times New Roman" w:cs="Times New Roman"/>
          <w:sz w:val="20"/>
          <w:szCs w:val="20"/>
        </w:rPr>
        <w:t xml:space="preserve"> capability and estimated yie</w:t>
      </w:r>
      <w:r w:rsidR="0078000A">
        <w:rPr>
          <w:rFonts w:ascii="Times New Roman" w:hAnsi="Times New Roman" w:cs="Times New Roman"/>
          <w:sz w:val="20"/>
          <w:szCs w:val="20"/>
        </w:rPr>
        <w:t>ld</w:t>
      </w:r>
      <w:r w:rsidR="001A07F7">
        <w:rPr>
          <w:rFonts w:ascii="Times New Roman" w:hAnsi="Times New Roman" w:cs="Times New Roman"/>
          <w:sz w:val="20"/>
          <w:szCs w:val="20"/>
        </w:rPr>
        <w:t xml:space="preserve"> </w:t>
      </w:r>
      <w:r w:rsidR="001A07F7" w:rsidRPr="001A07F7">
        <w:rPr>
          <w:rFonts w:ascii="Times New Roman" w:hAnsi="Times New Roman" w:cs="Times New Roman"/>
          <w:sz w:val="20"/>
          <w:szCs w:val="20"/>
          <w:highlight w:val="yellow"/>
        </w:rPr>
        <w:t>[Need to find reasonable values]</w:t>
      </w:r>
    </w:p>
    <w:tbl>
      <w:tblPr>
        <w:tblStyle w:val="TableGrid"/>
        <w:tblW w:w="0" w:type="auto"/>
        <w:jc w:val="center"/>
        <w:tblLook w:val="04A0" w:firstRow="1" w:lastRow="0" w:firstColumn="1" w:lastColumn="0" w:noHBand="0" w:noVBand="1"/>
      </w:tblPr>
      <w:tblGrid>
        <w:gridCol w:w="1008"/>
        <w:gridCol w:w="1530"/>
        <w:gridCol w:w="1620"/>
      </w:tblGrid>
      <w:tr w:rsidR="007B0CA6" w:rsidRPr="000A5736" w14:paraId="1C1BB5D3" w14:textId="77777777" w:rsidTr="00944239">
        <w:trPr>
          <w:jc w:val="center"/>
        </w:trPr>
        <w:tc>
          <w:tcPr>
            <w:tcW w:w="1008" w:type="dxa"/>
          </w:tcPr>
          <w:p w14:paraId="40965866" w14:textId="77777777" w:rsidR="007B0CA6" w:rsidRPr="000A5736" w:rsidRDefault="007B0CA6" w:rsidP="00944239">
            <w:pPr>
              <w:jc w:val="center"/>
              <w:rPr>
                <w:rFonts w:ascii="Times New Roman" w:hAnsi="Times New Roman" w:cs="Times New Roman"/>
                <w:sz w:val="18"/>
                <w:szCs w:val="18"/>
              </w:rPr>
            </w:pPr>
          </w:p>
        </w:tc>
        <w:tc>
          <w:tcPr>
            <w:tcW w:w="1530" w:type="dxa"/>
            <w:shd w:val="clear" w:color="auto" w:fill="D9D9D9" w:themeFill="background1" w:themeFillShade="D9"/>
          </w:tcPr>
          <w:p w14:paraId="62CA25C2" w14:textId="77777777" w:rsidR="007B0CA6" w:rsidRPr="000A5736" w:rsidRDefault="0078000A" w:rsidP="00944239">
            <w:pPr>
              <w:jc w:val="center"/>
              <w:rPr>
                <w:rFonts w:ascii="Times New Roman" w:hAnsi="Times New Roman" w:cs="Times New Roman"/>
                <w:sz w:val="18"/>
                <w:szCs w:val="18"/>
              </w:rPr>
            </w:pPr>
            <w:r>
              <w:rPr>
                <w:rFonts w:ascii="Times New Roman" w:hAnsi="Times New Roman" w:cs="Times New Roman"/>
                <w:sz w:val="18"/>
                <w:szCs w:val="18"/>
              </w:rPr>
              <w:t>Estimated yield</w:t>
            </w:r>
          </w:p>
        </w:tc>
        <w:tc>
          <w:tcPr>
            <w:tcW w:w="1620" w:type="dxa"/>
            <w:shd w:val="clear" w:color="auto" w:fill="D9D9D9" w:themeFill="background1" w:themeFillShade="D9"/>
          </w:tcPr>
          <w:p w14:paraId="0017621D" w14:textId="77777777" w:rsidR="007B0CA6" w:rsidRPr="000A5736" w:rsidRDefault="0078000A" w:rsidP="00944239">
            <w:pPr>
              <w:jc w:val="center"/>
              <w:rPr>
                <w:rFonts w:ascii="Times New Roman" w:hAnsi="Times New Roman" w:cs="Times New Roman"/>
                <w:sz w:val="18"/>
                <w:szCs w:val="18"/>
              </w:rPr>
            </w:pPr>
            <w:proofErr w:type="spellStart"/>
            <w:r>
              <w:rPr>
                <w:rFonts w:ascii="Times New Roman" w:hAnsi="Times New Roman" w:cs="Times New Roman"/>
                <w:sz w:val="18"/>
                <w:szCs w:val="18"/>
              </w:rPr>
              <w:t>Cpk</w:t>
            </w:r>
            <w:proofErr w:type="spellEnd"/>
          </w:p>
        </w:tc>
      </w:tr>
      <w:tr w:rsidR="007B0CA6" w:rsidRPr="000A5736" w14:paraId="193896DA" w14:textId="77777777" w:rsidTr="00944239">
        <w:trPr>
          <w:jc w:val="center"/>
        </w:trPr>
        <w:tc>
          <w:tcPr>
            <w:tcW w:w="1008" w:type="dxa"/>
            <w:shd w:val="clear" w:color="auto" w:fill="D9D9D9" w:themeFill="background1" w:themeFillShade="D9"/>
          </w:tcPr>
          <w:p w14:paraId="6E1B1779" w14:textId="77777777" w:rsidR="007B0CA6" w:rsidRPr="000A5736"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78000A">
              <w:rPr>
                <w:rFonts w:ascii="Times New Roman" w:hAnsi="Times New Roman" w:cs="Times New Roman"/>
                <w:sz w:val="18"/>
                <w:szCs w:val="18"/>
              </w:rPr>
              <w:t>A</w:t>
            </w:r>
          </w:p>
        </w:tc>
        <w:tc>
          <w:tcPr>
            <w:tcW w:w="1530" w:type="dxa"/>
          </w:tcPr>
          <w:p w14:paraId="206070CC" w14:textId="77777777" w:rsidR="007B0CA6" w:rsidRPr="000A5736" w:rsidRDefault="007B0CA6" w:rsidP="00944239">
            <w:pPr>
              <w:jc w:val="center"/>
              <w:rPr>
                <w:rFonts w:ascii="Times New Roman" w:hAnsi="Times New Roman" w:cs="Times New Roman"/>
                <w:sz w:val="18"/>
                <w:szCs w:val="18"/>
              </w:rPr>
            </w:pPr>
          </w:p>
        </w:tc>
        <w:tc>
          <w:tcPr>
            <w:tcW w:w="1620" w:type="dxa"/>
          </w:tcPr>
          <w:p w14:paraId="2ED4150E" w14:textId="77777777" w:rsidR="007B0CA6" w:rsidRPr="000A5736" w:rsidRDefault="007B0CA6" w:rsidP="00944239">
            <w:pPr>
              <w:jc w:val="center"/>
              <w:rPr>
                <w:rFonts w:ascii="Times New Roman" w:hAnsi="Times New Roman" w:cs="Times New Roman"/>
                <w:sz w:val="18"/>
                <w:szCs w:val="18"/>
              </w:rPr>
            </w:pPr>
          </w:p>
        </w:tc>
      </w:tr>
      <w:tr w:rsidR="007B0CA6" w:rsidRPr="000A5736" w14:paraId="29AA3D94" w14:textId="77777777" w:rsidTr="00944239">
        <w:trPr>
          <w:jc w:val="center"/>
        </w:trPr>
        <w:tc>
          <w:tcPr>
            <w:tcW w:w="1008" w:type="dxa"/>
            <w:shd w:val="clear" w:color="auto" w:fill="D9D9D9" w:themeFill="background1" w:themeFillShade="D9"/>
          </w:tcPr>
          <w:p w14:paraId="2AFFD7BA" w14:textId="77777777" w:rsidR="007B0CA6" w:rsidRPr="000A5736"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78000A">
              <w:rPr>
                <w:rFonts w:ascii="Times New Roman" w:hAnsi="Times New Roman" w:cs="Times New Roman"/>
                <w:sz w:val="18"/>
                <w:szCs w:val="18"/>
              </w:rPr>
              <w:t>B</w:t>
            </w:r>
          </w:p>
        </w:tc>
        <w:tc>
          <w:tcPr>
            <w:tcW w:w="1530" w:type="dxa"/>
          </w:tcPr>
          <w:p w14:paraId="3403CCB1" w14:textId="77777777" w:rsidR="007B0CA6" w:rsidRPr="000A5736" w:rsidRDefault="007B0CA6" w:rsidP="00944239">
            <w:pPr>
              <w:jc w:val="center"/>
              <w:rPr>
                <w:rFonts w:ascii="Times New Roman" w:hAnsi="Times New Roman" w:cs="Times New Roman"/>
                <w:sz w:val="18"/>
                <w:szCs w:val="18"/>
              </w:rPr>
            </w:pPr>
          </w:p>
        </w:tc>
        <w:tc>
          <w:tcPr>
            <w:tcW w:w="1620" w:type="dxa"/>
          </w:tcPr>
          <w:p w14:paraId="10D07F24" w14:textId="77777777" w:rsidR="007B0CA6" w:rsidRPr="000A5736" w:rsidRDefault="007B0CA6" w:rsidP="00944239">
            <w:pPr>
              <w:jc w:val="center"/>
              <w:rPr>
                <w:rFonts w:ascii="Times New Roman" w:hAnsi="Times New Roman" w:cs="Times New Roman"/>
                <w:sz w:val="18"/>
                <w:szCs w:val="18"/>
              </w:rPr>
            </w:pPr>
          </w:p>
        </w:tc>
      </w:tr>
      <w:tr w:rsidR="008655B5" w:rsidRPr="000A5736" w14:paraId="5DFBDD98" w14:textId="77777777" w:rsidTr="00944239">
        <w:trPr>
          <w:jc w:val="center"/>
        </w:trPr>
        <w:tc>
          <w:tcPr>
            <w:tcW w:w="1008" w:type="dxa"/>
            <w:shd w:val="clear" w:color="auto" w:fill="D9D9D9" w:themeFill="background1" w:themeFillShade="D9"/>
          </w:tcPr>
          <w:p w14:paraId="030924C5"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C</w:t>
            </w:r>
          </w:p>
        </w:tc>
        <w:tc>
          <w:tcPr>
            <w:tcW w:w="1530" w:type="dxa"/>
          </w:tcPr>
          <w:p w14:paraId="10D4506B" w14:textId="77777777" w:rsidR="008655B5" w:rsidRPr="000A5736" w:rsidRDefault="008655B5" w:rsidP="00944239">
            <w:pPr>
              <w:jc w:val="center"/>
              <w:rPr>
                <w:rFonts w:ascii="Times New Roman" w:hAnsi="Times New Roman" w:cs="Times New Roman"/>
                <w:sz w:val="18"/>
                <w:szCs w:val="18"/>
              </w:rPr>
            </w:pPr>
          </w:p>
        </w:tc>
        <w:tc>
          <w:tcPr>
            <w:tcW w:w="1620" w:type="dxa"/>
          </w:tcPr>
          <w:p w14:paraId="3C1DCADA" w14:textId="77777777" w:rsidR="008655B5" w:rsidRPr="000A5736" w:rsidRDefault="008655B5" w:rsidP="00944239">
            <w:pPr>
              <w:jc w:val="center"/>
              <w:rPr>
                <w:rFonts w:ascii="Times New Roman" w:hAnsi="Times New Roman" w:cs="Times New Roman"/>
                <w:sz w:val="18"/>
                <w:szCs w:val="18"/>
              </w:rPr>
            </w:pPr>
          </w:p>
        </w:tc>
      </w:tr>
      <w:tr w:rsidR="008655B5" w:rsidRPr="000A5736" w14:paraId="2F668B8E" w14:textId="77777777" w:rsidTr="00944239">
        <w:trPr>
          <w:jc w:val="center"/>
        </w:trPr>
        <w:tc>
          <w:tcPr>
            <w:tcW w:w="1008" w:type="dxa"/>
            <w:shd w:val="clear" w:color="auto" w:fill="D9D9D9" w:themeFill="background1" w:themeFillShade="D9"/>
          </w:tcPr>
          <w:p w14:paraId="2270E63D"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D</w:t>
            </w:r>
          </w:p>
        </w:tc>
        <w:tc>
          <w:tcPr>
            <w:tcW w:w="1530" w:type="dxa"/>
          </w:tcPr>
          <w:p w14:paraId="603D79B7" w14:textId="77777777" w:rsidR="008655B5" w:rsidRPr="000A5736" w:rsidRDefault="008655B5" w:rsidP="00944239">
            <w:pPr>
              <w:jc w:val="center"/>
              <w:rPr>
                <w:rFonts w:ascii="Times New Roman" w:hAnsi="Times New Roman" w:cs="Times New Roman"/>
                <w:sz w:val="18"/>
                <w:szCs w:val="18"/>
              </w:rPr>
            </w:pPr>
          </w:p>
        </w:tc>
        <w:tc>
          <w:tcPr>
            <w:tcW w:w="1620" w:type="dxa"/>
          </w:tcPr>
          <w:p w14:paraId="31734D3B" w14:textId="77777777" w:rsidR="008655B5" w:rsidRPr="000A5736" w:rsidRDefault="008655B5" w:rsidP="00944239">
            <w:pPr>
              <w:jc w:val="center"/>
              <w:rPr>
                <w:rFonts w:ascii="Times New Roman" w:hAnsi="Times New Roman" w:cs="Times New Roman"/>
                <w:sz w:val="18"/>
                <w:szCs w:val="18"/>
              </w:rPr>
            </w:pPr>
          </w:p>
        </w:tc>
      </w:tr>
      <w:tr w:rsidR="008655B5" w:rsidRPr="000A5736" w14:paraId="7FCE8E8E" w14:textId="77777777" w:rsidTr="00944239">
        <w:trPr>
          <w:jc w:val="center"/>
        </w:trPr>
        <w:tc>
          <w:tcPr>
            <w:tcW w:w="1008" w:type="dxa"/>
            <w:shd w:val="clear" w:color="auto" w:fill="D9D9D9" w:themeFill="background1" w:themeFillShade="D9"/>
          </w:tcPr>
          <w:p w14:paraId="0C048621"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E</w:t>
            </w:r>
          </w:p>
        </w:tc>
        <w:tc>
          <w:tcPr>
            <w:tcW w:w="1530" w:type="dxa"/>
          </w:tcPr>
          <w:p w14:paraId="249A54AA" w14:textId="77777777" w:rsidR="008655B5" w:rsidRPr="000A5736" w:rsidRDefault="008655B5" w:rsidP="00944239">
            <w:pPr>
              <w:jc w:val="center"/>
              <w:rPr>
                <w:rFonts w:ascii="Times New Roman" w:hAnsi="Times New Roman" w:cs="Times New Roman"/>
                <w:sz w:val="18"/>
                <w:szCs w:val="18"/>
              </w:rPr>
            </w:pPr>
          </w:p>
        </w:tc>
        <w:tc>
          <w:tcPr>
            <w:tcW w:w="1620" w:type="dxa"/>
          </w:tcPr>
          <w:p w14:paraId="4FAECBD5" w14:textId="77777777" w:rsidR="008655B5" w:rsidRPr="000A5736" w:rsidRDefault="008655B5" w:rsidP="00944239">
            <w:pPr>
              <w:jc w:val="center"/>
              <w:rPr>
                <w:rFonts w:ascii="Times New Roman" w:hAnsi="Times New Roman" w:cs="Times New Roman"/>
                <w:sz w:val="18"/>
                <w:szCs w:val="18"/>
              </w:rPr>
            </w:pPr>
          </w:p>
        </w:tc>
      </w:tr>
      <w:tr w:rsidR="008655B5" w:rsidRPr="000A5736" w14:paraId="04D4E158" w14:textId="77777777" w:rsidTr="00944239">
        <w:trPr>
          <w:jc w:val="center"/>
        </w:trPr>
        <w:tc>
          <w:tcPr>
            <w:tcW w:w="1008" w:type="dxa"/>
            <w:shd w:val="clear" w:color="auto" w:fill="D9D9D9" w:themeFill="background1" w:themeFillShade="D9"/>
          </w:tcPr>
          <w:p w14:paraId="323FD82B"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F</w:t>
            </w:r>
          </w:p>
        </w:tc>
        <w:tc>
          <w:tcPr>
            <w:tcW w:w="1530" w:type="dxa"/>
          </w:tcPr>
          <w:p w14:paraId="5654C9C1" w14:textId="77777777" w:rsidR="008655B5" w:rsidRPr="000A5736" w:rsidRDefault="008655B5" w:rsidP="00944239">
            <w:pPr>
              <w:jc w:val="center"/>
              <w:rPr>
                <w:rFonts w:ascii="Times New Roman" w:hAnsi="Times New Roman" w:cs="Times New Roman"/>
                <w:sz w:val="18"/>
                <w:szCs w:val="18"/>
              </w:rPr>
            </w:pPr>
          </w:p>
        </w:tc>
        <w:tc>
          <w:tcPr>
            <w:tcW w:w="1620" w:type="dxa"/>
          </w:tcPr>
          <w:p w14:paraId="0DCCCCAE" w14:textId="77777777" w:rsidR="008655B5" w:rsidRPr="000A5736" w:rsidRDefault="008655B5" w:rsidP="00944239">
            <w:pPr>
              <w:jc w:val="center"/>
              <w:rPr>
                <w:rFonts w:ascii="Times New Roman" w:hAnsi="Times New Roman" w:cs="Times New Roman"/>
                <w:sz w:val="18"/>
                <w:szCs w:val="18"/>
              </w:rPr>
            </w:pPr>
          </w:p>
        </w:tc>
      </w:tr>
      <w:tr w:rsidR="008655B5" w:rsidRPr="000A5736" w14:paraId="7009EB9D" w14:textId="77777777" w:rsidTr="00944239">
        <w:trPr>
          <w:jc w:val="center"/>
        </w:trPr>
        <w:tc>
          <w:tcPr>
            <w:tcW w:w="1008" w:type="dxa"/>
            <w:shd w:val="clear" w:color="auto" w:fill="D9D9D9" w:themeFill="background1" w:themeFillShade="D9"/>
          </w:tcPr>
          <w:p w14:paraId="75D58DEF"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G</w:t>
            </w:r>
          </w:p>
        </w:tc>
        <w:tc>
          <w:tcPr>
            <w:tcW w:w="1530" w:type="dxa"/>
          </w:tcPr>
          <w:p w14:paraId="1CB30708" w14:textId="77777777" w:rsidR="008655B5" w:rsidRPr="000A5736" w:rsidRDefault="008655B5" w:rsidP="00944239">
            <w:pPr>
              <w:jc w:val="center"/>
              <w:rPr>
                <w:rFonts w:ascii="Times New Roman" w:hAnsi="Times New Roman" w:cs="Times New Roman"/>
                <w:sz w:val="18"/>
                <w:szCs w:val="18"/>
              </w:rPr>
            </w:pPr>
          </w:p>
        </w:tc>
        <w:tc>
          <w:tcPr>
            <w:tcW w:w="1620" w:type="dxa"/>
          </w:tcPr>
          <w:p w14:paraId="1B218577" w14:textId="77777777" w:rsidR="008655B5" w:rsidRPr="000A5736" w:rsidRDefault="008655B5" w:rsidP="00944239">
            <w:pPr>
              <w:jc w:val="center"/>
              <w:rPr>
                <w:rFonts w:ascii="Times New Roman" w:hAnsi="Times New Roman" w:cs="Times New Roman"/>
                <w:sz w:val="18"/>
                <w:szCs w:val="18"/>
              </w:rPr>
            </w:pPr>
          </w:p>
        </w:tc>
      </w:tr>
      <w:tr w:rsidR="008655B5" w:rsidRPr="000A5736" w14:paraId="3686598D" w14:textId="77777777" w:rsidTr="00944239">
        <w:trPr>
          <w:jc w:val="center"/>
        </w:trPr>
        <w:tc>
          <w:tcPr>
            <w:tcW w:w="1008" w:type="dxa"/>
            <w:shd w:val="clear" w:color="auto" w:fill="D9D9D9" w:themeFill="background1" w:themeFillShade="D9"/>
          </w:tcPr>
          <w:p w14:paraId="47A0C784"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H</w:t>
            </w:r>
          </w:p>
        </w:tc>
        <w:tc>
          <w:tcPr>
            <w:tcW w:w="1530" w:type="dxa"/>
          </w:tcPr>
          <w:p w14:paraId="7E12F8ED" w14:textId="77777777" w:rsidR="008655B5" w:rsidRPr="000A5736" w:rsidRDefault="008655B5" w:rsidP="00944239">
            <w:pPr>
              <w:jc w:val="center"/>
              <w:rPr>
                <w:rFonts w:ascii="Times New Roman" w:hAnsi="Times New Roman" w:cs="Times New Roman"/>
                <w:sz w:val="18"/>
                <w:szCs w:val="18"/>
              </w:rPr>
            </w:pPr>
          </w:p>
        </w:tc>
        <w:tc>
          <w:tcPr>
            <w:tcW w:w="1620" w:type="dxa"/>
          </w:tcPr>
          <w:p w14:paraId="38E4A478" w14:textId="77777777" w:rsidR="008655B5" w:rsidRPr="000A5736" w:rsidRDefault="008655B5" w:rsidP="00944239">
            <w:pPr>
              <w:jc w:val="center"/>
              <w:rPr>
                <w:rFonts w:ascii="Times New Roman" w:hAnsi="Times New Roman" w:cs="Times New Roman"/>
                <w:sz w:val="18"/>
                <w:szCs w:val="18"/>
              </w:rPr>
            </w:pPr>
          </w:p>
        </w:tc>
      </w:tr>
      <w:tr w:rsidR="008655B5" w:rsidRPr="000A5736" w14:paraId="08A9B118" w14:textId="77777777" w:rsidTr="00944239">
        <w:trPr>
          <w:jc w:val="center"/>
        </w:trPr>
        <w:tc>
          <w:tcPr>
            <w:tcW w:w="1008" w:type="dxa"/>
            <w:shd w:val="clear" w:color="auto" w:fill="D9D9D9" w:themeFill="background1" w:themeFillShade="D9"/>
          </w:tcPr>
          <w:p w14:paraId="5B263469"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I</w:t>
            </w:r>
          </w:p>
        </w:tc>
        <w:tc>
          <w:tcPr>
            <w:tcW w:w="1530" w:type="dxa"/>
          </w:tcPr>
          <w:p w14:paraId="63B59734" w14:textId="77777777" w:rsidR="008655B5" w:rsidRPr="000A5736" w:rsidRDefault="008655B5" w:rsidP="00944239">
            <w:pPr>
              <w:jc w:val="center"/>
              <w:rPr>
                <w:rFonts w:ascii="Times New Roman" w:hAnsi="Times New Roman" w:cs="Times New Roman"/>
                <w:sz w:val="18"/>
                <w:szCs w:val="18"/>
              </w:rPr>
            </w:pPr>
          </w:p>
        </w:tc>
        <w:tc>
          <w:tcPr>
            <w:tcW w:w="1620" w:type="dxa"/>
          </w:tcPr>
          <w:p w14:paraId="487697C8" w14:textId="77777777" w:rsidR="008655B5" w:rsidRPr="000A5736" w:rsidRDefault="008655B5" w:rsidP="00944239">
            <w:pPr>
              <w:jc w:val="center"/>
              <w:rPr>
                <w:rFonts w:ascii="Times New Roman" w:hAnsi="Times New Roman" w:cs="Times New Roman"/>
                <w:sz w:val="18"/>
                <w:szCs w:val="18"/>
              </w:rPr>
            </w:pPr>
          </w:p>
        </w:tc>
      </w:tr>
      <w:tr w:rsidR="008655B5" w:rsidRPr="000A5736" w14:paraId="0D344DF8" w14:textId="77777777" w:rsidTr="00944239">
        <w:trPr>
          <w:jc w:val="center"/>
        </w:trPr>
        <w:tc>
          <w:tcPr>
            <w:tcW w:w="1008" w:type="dxa"/>
            <w:shd w:val="clear" w:color="auto" w:fill="D9D9D9" w:themeFill="background1" w:themeFillShade="D9"/>
          </w:tcPr>
          <w:p w14:paraId="70FBAC99"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J</w:t>
            </w:r>
          </w:p>
        </w:tc>
        <w:tc>
          <w:tcPr>
            <w:tcW w:w="1530" w:type="dxa"/>
          </w:tcPr>
          <w:p w14:paraId="02196358" w14:textId="77777777" w:rsidR="008655B5" w:rsidRPr="000A5736" w:rsidRDefault="008655B5" w:rsidP="00944239">
            <w:pPr>
              <w:jc w:val="center"/>
              <w:rPr>
                <w:rFonts w:ascii="Times New Roman" w:hAnsi="Times New Roman" w:cs="Times New Roman"/>
                <w:sz w:val="18"/>
                <w:szCs w:val="18"/>
              </w:rPr>
            </w:pPr>
          </w:p>
        </w:tc>
        <w:tc>
          <w:tcPr>
            <w:tcW w:w="1620" w:type="dxa"/>
          </w:tcPr>
          <w:p w14:paraId="2304E0E4" w14:textId="77777777" w:rsidR="008655B5" w:rsidRPr="000A5736" w:rsidRDefault="008655B5" w:rsidP="00944239">
            <w:pPr>
              <w:jc w:val="center"/>
              <w:rPr>
                <w:rFonts w:ascii="Times New Roman" w:hAnsi="Times New Roman" w:cs="Times New Roman"/>
                <w:sz w:val="18"/>
                <w:szCs w:val="18"/>
              </w:rPr>
            </w:pPr>
          </w:p>
        </w:tc>
      </w:tr>
      <w:tr w:rsidR="008655B5" w:rsidRPr="000A5736" w14:paraId="0BA090C0" w14:textId="77777777" w:rsidTr="00944239">
        <w:trPr>
          <w:jc w:val="center"/>
        </w:trPr>
        <w:tc>
          <w:tcPr>
            <w:tcW w:w="1008" w:type="dxa"/>
            <w:shd w:val="clear" w:color="auto" w:fill="D9D9D9" w:themeFill="background1" w:themeFillShade="D9"/>
          </w:tcPr>
          <w:p w14:paraId="2A9FE3FC"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K</w:t>
            </w:r>
          </w:p>
        </w:tc>
        <w:tc>
          <w:tcPr>
            <w:tcW w:w="1530" w:type="dxa"/>
          </w:tcPr>
          <w:p w14:paraId="52F9F990" w14:textId="77777777" w:rsidR="008655B5" w:rsidRPr="000A5736" w:rsidRDefault="008655B5" w:rsidP="00944239">
            <w:pPr>
              <w:jc w:val="center"/>
              <w:rPr>
                <w:rFonts w:ascii="Times New Roman" w:hAnsi="Times New Roman" w:cs="Times New Roman"/>
                <w:sz w:val="18"/>
                <w:szCs w:val="18"/>
              </w:rPr>
            </w:pPr>
          </w:p>
        </w:tc>
        <w:tc>
          <w:tcPr>
            <w:tcW w:w="1620" w:type="dxa"/>
          </w:tcPr>
          <w:p w14:paraId="5AE7D9EF" w14:textId="77777777" w:rsidR="008655B5" w:rsidRPr="000A5736" w:rsidRDefault="008655B5" w:rsidP="00944239">
            <w:pPr>
              <w:jc w:val="center"/>
              <w:rPr>
                <w:rFonts w:ascii="Times New Roman" w:hAnsi="Times New Roman" w:cs="Times New Roman"/>
                <w:sz w:val="18"/>
                <w:szCs w:val="18"/>
              </w:rPr>
            </w:pPr>
          </w:p>
        </w:tc>
      </w:tr>
      <w:tr w:rsidR="008655B5" w:rsidRPr="000A5736" w14:paraId="5339BE9E" w14:textId="77777777" w:rsidTr="00944239">
        <w:trPr>
          <w:jc w:val="center"/>
        </w:trPr>
        <w:tc>
          <w:tcPr>
            <w:tcW w:w="1008" w:type="dxa"/>
            <w:shd w:val="clear" w:color="auto" w:fill="D9D9D9" w:themeFill="background1" w:themeFillShade="D9"/>
          </w:tcPr>
          <w:p w14:paraId="29DDD0F2"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M</w:t>
            </w:r>
          </w:p>
        </w:tc>
        <w:tc>
          <w:tcPr>
            <w:tcW w:w="1530" w:type="dxa"/>
          </w:tcPr>
          <w:p w14:paraId="3DA59A6C" w14:textId="77777777" w:rsidR="008655B5" w:rsidRPr="000A5736" w:rsidRDefault="008655B5" w:rsidP="00944239">
            <w:pPr>
              <w:jc w:val="center"/>
              <w:rPr>
                <w:rFonts w:ascii="Times New Roman" w:hAnsi="Times New Roman" w:cs="Times New Roman"/>
                <w:sz w:val="18"/>
                <w:szCs w:val="18"/>
              </w:rPr>
            </w:pPr>
          </w:p>
        </w:tc>
        <w:tc>
          <w:tcPr>
            <w:tcW w:w="1620" w:type="dxa"/>
          </w:tcPr>
          <w:p w14:paraId="1521F827" w14:textId="77777777" w:rsidR="008655B5" w:rsidRPr="000A5736" w:rsidRDefault="008655B5" w:rsidP="00944239">
            <w:pPr>
              <w:jc w:val="center"/>
              <w:rPr>
                <w:rFonts w:ascii="Times New Roman" w:hAnsi="Times New Roman" w:cs="Times New Roman"/>
                <w:sz w:val="18"/>
                <w:szCs w:val="18"/>
              </w:rPr>
            </w:pPr>
          </w:p>
        </w:tc>
      </w:tr>
      <w:tr w:rsidR="008655B5" w:rsidRPr="000A5736" w14:paraId="5489283E" w14:textId="77777777" w:rsidTr="00944239">
        <w:trPr>
          <w:jc w:val="center"/>
        </w:trPr>
        <w:tc>
          <w:tcPr>
            <w:tcW w:w="1008" w:type="dxa"/>
            <w:shd w:val="clear" w:color="auto" w:fill="D9D9D9" w:themeFill="background1" w:themeFillShade="D9"/>
          </w:tcPr>
          <w:p w14:paraId="6952940E"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L</w:t>
            </w:r>
          </w:p>
        </w:tc>
        <w:tc>
          <w:tcPr>
            <w:tcW w:w="1530" w:type="dxa"/>
          </w:tcPr>
          <w:p w14:paraId="2006C311" w14:textId="77777777" w:rsidR="008655B5" w:rsidRPr="000A5736" w:rsidRDefault="008655B5" w:rsidP="00944239">
            <w:pPr>
              <w:jc w:val="center"/>
              <w:rPr>
                <w:rFonts w:ascii="Times New Roman" w:hAnsi="Times New Roman" w:cs="Times New Roman"/>
                <w:sz w:val="18"/>
                <w:szCs w:val="18"/>
              </w:rPr>
            </w:pPr>
          </w:p>
        </w:tc>
        <w:tc>
          <w:tcPr>
            <w:tcW w:w="1620" w:type="dxa"/>
          </w:tcPr>
          <w:p w14:paraId="3E761ED2" w14:textId="77777777" w:rsidR="008655B5" w:rsidRPr="000A5736" w:rsidRDefault="008655B5" w:rsidP="00944239">
            <w:pPr>
              <w:jc w:val="center"/>
              <w:rPr>
                <w:rFonts w:ascii="Times New Roman" w:hAnsi="Times New Roman" w:cs="Times New Roman"/>
                <w:sz w:val="18"/>
                <w:szCs w:val="18"/>
              </w:rPr>
            </w:pPr>
          </w:p>
        </w:tc>
      </w:tr>
      <w:tr w:rsidR="008655B5" w:rsidRPr="000A5736" w14:paraId="095E0E6A" w14:textId="77777777" w:rsidTr="00944239">
        <w:trPr>
          <w:jc w:val="center"/>
        </w:trPr>
        <w:tc>
          <w:tcPr>
            <w:tcW w:w="1008" w:type="dxa"/>
            <w:shd w:val="clear" w:color="auto" w:fill="D9D9D9" w:themeFill="background1" w:themeFillShade="D9"/>
          </w:tcPr>
          <w:p w14:paraId="2CD9B714"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O</w:t>
            </w:r>
          </w:p>
        </w:tc>
        <w:tc>
          <w:tcPr>
            <w:tcW w:w="1530" w:type="dxa"/>
          </w:tcPr>
          <w:p w14:paraId="37514AF7" w14:textId="77777777" w:rsidR="008655B5" w:rsidRPr="000A5736" w:rsidRDefault="008655B5" w:rsidP="00944239">
            <w:pPr>
              <w:jc w:val="center"/>
              <w:rPr>
                <w:rFonts w:ascii="Times New Roman" w:hAnsi="Times New Roman" w:cs="Times New Roman"/>
                <w:sz w:val="18"/>
                <w:szCs w:val="18"/>
              </w:rPr>
            </w:pPr>
          </w:p>
        </w:tc>
        <w:tc>
          <w:tcPr>
            <w:tcW w:w="1620" w:type="dxa"/>
          </w:tcPr>
          <w:p w14:paraId="44B5B142" w14:textId="77777777" w:rsidR="008655B5" w:rsidRPr="000A5736" w:rsidRDefault="008655B5" w:rsidP="00944239">
            <w:pPr>
              <w:jc w:val="center"/>
              <w:rPr>
                <w:rFonts w:ascii="Times New Roman" w:hAnsi="Times New Roman" w:cs="Times New Roman"/>
                <w:sz w:val="18"/>
                <w:szCs w:val="18"/>
              </w:rPr>
            </w:pPr>
          </w:p>
        </w:tc>
      </w:tr>
      <w:tr w:rsidR="008655B5" w:rsidRPr="000A5736" w14:paraId="35407BFC" w14:textId="77777777" w:rsidTr="00944239">
        <w:trPr>
          <w:jc w:val="center"/>
        </w:trPr>
        <w:tc>
          <w:tcPr>
            <w:tcW w:w="1008" w:type="dxa"/>
            <w:shd w:val="clear" w:color="auto" w:fill="D9D9D9" w:themeFill="background1" w:themeFillShade="D9"/>
          </w:tcPr>
          <w:p w14:paraId="785BBF63"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P</w:t>
            </w:r>
          </w:p>
        </w:tc>
        <w:tc>
          <w:tcPr>
            <w:tcW w:w="1530" w:type="dxa"/>
          </w:tcPr>
          <w:p w14:paraId="72CA32B8" w14:textId="77777777" w:rsidR="008655B5" w:rsidRPr="000A5736" w:rsidRDefault="008655B5" w:rsidP="00944239">
            <w:pPr>
              <w:jc w:val="center"/>
              <w:rPr>
                <w:rFonts w:ascii="Times New Roman" w:hAnsi="Times New Roman" w:cs="Times New Roman"/>
                <w:sz w:val="18"/>
                <w:szCs w:val="18"/>
              </w:rPr>
            </w:pPr>
          </w:p>
        </w:tc>
        <w:tc>
          <w:tcPr>
            <w:tcW w:w="1620" w:type="dxa"/>
          </w:tcPr>
          <w:p w14:paraId="5208C37D" w14:textId="77777777" w:rsidR="008655B5" w:rsidRPr="000A5736" w:rsidRDefault="008655B5" w:rsidP="00944239">
            <w:pPr>
              <w:jc w:val="center"/>
              <w:rPr>
                <w:rFonts w:ascii="Times New Roman" w:hAnsi="Times New Roman" w:cs="Times New Roman"/>
                <w:sz w:val="18"/>
                <w:szCs w:val="18"/>
              </w:rPr>
            </w:pPr>
          </w:p>
        </w:tc>
      </w:tr>
      <w:tr w:rsidR="008655B5" w:rsidRPr="000A5736" w14:paraId="1D6B1A70" w14:textId="77777777" w:rsidTr="00944239">
        <w:trPr>
          <w:jc w:val="center"/>
        </w:trPr>
        <w:tc>
          <w:tcPr>
            <w:tcW w:w="1008" w:type="dxa"/>
            <w:shd w:val="clear" w:color="auto" w:fill="D9D9D9" w:themeFill="background1" w:themeFillShade="D9"/>
          </w:tcPr>
          <w:p w14:paraId="05E149C4" w14:textId="77777777" w:rsidR="008655B5" w:rsidRDefault="00342E0C" w:rsidP="00944239">
            <w:pPr>
              <w:jc w:val="center"/>
              <w:rPr>
                <w:rFonts w:ascii="Times New Roman" w:hAnsi="Times New Roman" w:cs="Times New Roman"/>
                <w:sz w:val="18"/>
                <w:szCs w:val="18"/>
              </w:rPr>
            </w:pPr>
            <w:r>
              <w:rPr>
                <w:rFonts w:ascii="Times New Roman" w:hAnsi="Times New Roman" w:cs="Times New Roman"/>
                <w:sz w:val="18"/>
                <w:szCs w:val="18"/>
              </w:rPr>
              <w:t>T</w:t>
            </w:r>
            <w:r w:rsidR="008655B5">
              <w:rPr>
                <w:rFonts w:ascii="Times New Roman" w:hAnsi="Times New Roman" w:cs="Times New Roman"/>
                <w:sz w:val="18"/>
                <w:szCs w:val="18"/>
              </w:rPr>
              <w:t>Q</w:t>
            </w:r>
          </w:p>
        </w:tc>
        <w:tc>
          <w:tcPr>
            <w:tcW w:w="1530" w:type="dxa"/>
          </w:tcPr>
          <w:p w14:paraId="2ED7A82A" w14:textId="77777777" w:rsidR="008655B5" w:rsidRPr="000A5736" w:rsidRDefault="008655B5" w:rsidP="00944239">
            <w:pPr>
              <w:jc w:val="center"/>
              <w:rPr>
                <w:rFonts w:ascii="Times New Roman" w:hAnsi="Times New Roman" w:cs="Times New Roman"/>
                <w:sz w:val="18"/>
                <w:szCs w:val="18"/>
              </w:rPr>
            </w:pPr>
          </w:p>
        </w:tc>
        <w:tc>
          <w:tcPr>
            <w:tcW w:w="1620" w:type="dxa"/>
          </w:tcPr>
          <w:p w14:paraId="225B236F" w14:textId="77777777" w:rsidR="008655B5" w:rsidRPr="000A5736" w:rsidRDefault="008655B5" w:rsidP="00944239">
            <w:pPr>
              <w:jc w:val="center"/>
              <w:rPr>
                <w:rFonts w:ascii="Times New Roman" w:hAnsi="Times New Roman" w:cs="Times New Roman"/>
                <w:sz w:val="18"/>
                <w:szCs w:val="18"/>
              </w:rPr>
            </w:pPr>
          </w:p>
        </w:tc>
      </w:tr>
    </w:tbl>
    <w:p w14:paraId="30E20E9C" w14:textId="77777777" w:rsidR="002E4C53" w:rsidRDefault="002E4C53" w:rsidP="0071666D">
      <w:pPr>
        <w:tabs>
          <w:tab w:val="left" w:pos="3330"/>
        </w:tabs>
        <w:rPr>
          <w:rFonts w:ascii="Times New Roman" w:hAnsi="Times New Roman" w:cs="Times New Roman"/>
          <w:sz w:val="20"/>
          <w:szCs w:val="20"/>
        </w:rPr>
      </w:pPr>
    </w:p>
    <w:p w14:paraId="1D53F267" w14:textId="77777777" w:rsidR="002C0C12" w:rsidRPr="005463E5" w:rsidRDefault="002C0C12" w:rsidP="002C0C12">
      <w:pPr>
        <w:tabs>
          <w:tab w:val="left" w:pos="3330"/>
        </w:tabs>
        <w:rPr>
          <w:rFonts w:ascii="Times New Roman" w:hAnsi="Times New Roman" w:cs="Times New Roman"/>
          <w:sz w:val="20"/>
          <w:szCs w:val="20"/>
        </w:rPr>
      </w:pPr>
      <w:proofErr w:type="spellStart"/>
      <w:r>
        <w:rPr>
          <w:rFonts w:ascii="Times New Roman" w:hAnsi="Times New Roman" w:cs="Times New Roman"/>
          <w:sz w:val="20"/>
          <w:szCs w:val="20"/>
        </w:rPr>
        <w:t>Cpk</w:t>
      </w:r>
      <w:proofErr w:type="spellEnd"/>
      <w:r>
        <w:rPr>
          <w:rFonts w:ascii="Times New Roman" w:hAnsi="Times New Roman" w:cs="Times New Roman"/>
          <w:sz w:val="20"/>
          <w:szCs w:val="20"/>
        </w:rPr>
        <w:t xml:space="preserve"> estimates </w:t>
      </w:r>
      <w:r w:rsidRPr="005463E5">
        <w:rPr>
          <w:rFonts w:ascii="Times New Roman" w:hAnsi="Times New Roman" w:cs="Times New Roman"/>
          <w:sz w:val="20"/>
          <w:szCs w:val="20"/>
        </w:rPr>
        <w:t>can be incorporated in equation (1) to promote the use of more capable tools for high-value lots and minimizing scrap loss. For example, the cost of candidate tools can be defined as:</w:t>
      </w:r>
    </w:p>
    <w:p w14:paraId="388711D7" w14:textId="1DD09835" w:rsidR="002C0C12" w:rsidRPr="005463E5" w:rsidRDefault="002C0C12" w:rsidP="001F2E65">
      <w:pPr>
        <w:tabs>
          <w:tab w:val="left" w:pos="2700"/>
        </w:tabs>
        <w:rPr>
          <w:rFonts w:ascii="Times New Roman" w:hAnsi="Times New Roman" w:cs="Times New Roman"/>
          <w:sz w:val="20"/>
          <w:szCs w:val="20"/>
        </w:rPr>
      </w:pPr>
      <w:r w:rsidRPr="005463E5">
        <w:rPr>
          <w:rFonts w:ascii="Times New Roman" w:hAnsi="Times New Roman" w:cs="Times New Roman"/>
        </w:rPr>
        <w:tab/>
      </w:r>
      <w:r w:rsidR="001F2E65" w:rsidRPr="005463E5">
        <w:rPr>
          <w:rFonts w:ascii="Times New Roman" w:hAnsi="Times New Roman" w:cs="Times New Roman"/>
          <w:position w:val="-46"/>
        </w:rPr>
        <w:object w:dxaOrig="4599" w:dyaOrig="840" w14:anchorId="0A98A739">
          <v:shape id="_x0000_i1026" type="#_x0000_t75" style="width:202.8pt;height:37.2pt" o:ole="">
            <v:imagedata r:id="rId10" o:title=""/>
          </v:shape>
          <o:OLEObject Type="Embed" ProgID="Equation.3" ShapeID="_x0000_i1026" DrawAspect="Content" ObjectID="_1564567864" r:id="rId11"/>
        </w:object>
      </w:r>
      <w:r w:rsidRPr="005463E5">
        <w:rPr>
          <w:rFonts w:ascii="Times New Roman" w:hAnsi="Times New Roman" w:cs="Times New Roman"/>
        </w:rPr>
        <w:tab/>
      </w:r>
      <w:r w:rsidRPr="005463E5">
        <w:rPr>
          <w:rFonts w:ascii="Times New Roman" w:hAnsi="Times New Roman" w:cs="Times New Roman"/>
        </w:rPr>
        <w:tab/>
        <w:t>(2)</w:t>
      </w:r>
    </w:p>
    <w:p w14:paraId="3E1D0DD0" w14:textId="2A58F32E" w:rsidR="002C0C12" w:rsidRDefault="008C12BD" w:rsidP="008C12BD">
      <w:pPr>
        <w:tabs>
          <w:tab w:val="left" w:pos="315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44729" w:rsidRPr="00B44729">
        <w:rPr>
          <w:rFonts w:ascii="Times New Roman" w:hAnsi="Times New Roman" w:cs="Times New Roman"/>
          <w:position w:val="-14"/>
        </w:rPr>
        <w:object w:dxaOrig="2200" w:dyaOrig="380" w14:anchorId="4A3E4ED7">
          <v:shape id="_x0000_i1027" type="#_x0000_t75" style="width:97.2pt;height:16.8pt" o:ole="">
            <v:imagedata r:id="rId12" o:title=""/>
          </v:shape>
          <o:OLEObject Type="Embed" ProgID="Equation.3" ShapeID="_x0000_i1027" DrawAspect="Content" ObjectID="_1564567865" r:id="rId13"/>
        </w:object>
      </w:r>
    </w:p>
    <w:p w14:paraId="48215200" w14:textId="3352F719" w:rsidR="006C5939" w:rsidRDefault="008C12BD" w:rsidP="0071666D">
      <w:pPr>
        <w:tabs>
          <w:tab w:val="left" w:pos="3330"/>
        </w:tabs>
        <w:rPr>
          <w:rFonts w:ascii="Times New Roman" w:hAnsi="Times New Roman" w:cs="Times New Roman"/>
        </w:rPr>
      </w:pPr>
      <w:r>
        <w:rPr>
          <w:rFonts w:ascii="Times New Roman" w:hAnsi="Times New Roman" w:cs="Times New Roman"/>
        </w:rPr>
        <w:tab/>
      </w:r>
      <w:r w:rsidR="00A513A2" w:rsidRPr="00B44729">
        <w:rPr>
          <w:rFonts w:ascii="Times New Roman" w:hAnsi="Times New Roman" w:cs="Times New Roman"/>
          <w:position w:val="-14"/>
        </w:rPr>
        <w:object w:dxaOrig="2439" w:dyaOrig="380" w14:anchorId="740C6FDE">
          <v:shape id="_x0000_i1028" type="#_x0000_t75" style="width:107.4pt;height:16.8pt" o:ole="">
            <v:imagedata r:id="rId14" o:title=""/>
          </v:shape>
          <o:OLEObject Type="Embed" ProgID="Equation.3" ShapeID="_x0000_i1028" DrawAspect="Content" ObjectID="_1564567866" r:id="rId15"/>
        </w:object>
      </w:r>
    </w:p>
    <w:p w14:paraId="7E1A3231" w14:textId="6EB9FEF4" w:rsidR="00DC40B6" w:rsidRDefault="008C12BD" w:rsidP="001F2E65">
      <w:pPr>
        <w:tabs>
          <w:tab w:val="left" w:pos="3780"/>
        </w:tabs>
        <w:rPr>
          <w:rFonts w:ascii="Times New Roman" w:hAnsi="Times New Roman" w:cs="Times New Roman"/>
          <w:sz w:val="20"/>
          <w:szCs w:val="20"/>
        </w:rPr>
      </w:pPr>
      <w:r>
        <w:rPr>
          <w:rFonts w:ascii="Times New Roman" w:hAnsi="Times New Roman" w:cs="Times New Roman"/>
        </w:rPr>
        <w:tab/>
      </w:r>
      <w:r w:rsidR="00A513A2" w:rsidRPr="00B44729">
        <w:rPr>
          <w:rFonts w:ascii="Times New Roman" w:hAnsi="Times New Roman" w:cs="Times New Roman"/>
          <w:position w:val="-14"/>
        </w:rPr>
        <w:object w:dxaOrig="1579" w:dyaOrig="380" w14:anchorId="37D8915F">
          <v:shape id="_x0000_i1029" type="#_x0000_t75" style="width:69.6pt;height:16.8pt" o:ole="">
            <v:imagedata r:id="rId16" o:title=""/>
          </v:shape>
          <o:OLEObject Type="Embed" ProgID="Equation.3" ShapeID="_x0000_i1029" DrawAspect="Content" ObjectID="_1564567867" r:id="rId17"/>
        </w:object>
      </w:r>
    </w:p>
    <w:p w14:paraId="6FECAB80" w14:textId="25BDDD34" w:rsidR="00B01214" w:rsidRPr="005463E5" w:rsidRDefault="00DC40B6" w:rsidP="0071666D">
      <w:pPr>
        <w:tabs>
          <w:tab w:val="left" w:pos="3330"/>
        </w:tabs>
        <w:rPr>
          <w:rFonts w:ascii="Times New Roman" w:hAnsi="Times New Roman" w:cs="Times New Roman"/>
          <w:sz w:val="20"/>
          <w:szCs w:val="20"/>
        </w:rPr>
      </w:pPr>
      <w:r w:rsidRPr="005463E5">
        <w:rPr>
          <w:rFonts w:ascii="Times New Roman" w:hAnsi="Times New Roman" w:cs="Times New Roman"/>
          <w:sz w:val="20"/>
          <w:szCs w:val="20"/>
          <w:highlight w:val="yellow"/>
        </w:rPr>
        <w:t xml:space="preserve"> </w:t>
      </w:r>
      <w:r w:rsidR="00B01214" w:rsidRPr="005463E5">
        <w:rPr>
          <w:rFonts w:ascii="Times New Roman" w:hAnsi="Times New Roman" w:cs="Times New Roman"/>
          <w:sz w:val="20"/>
          <w:szCs w:val="20"/>
          <w:highlight w:val="yellow"/>
        </w:rPr>
        <w:t>[Show simulation results of capability-aware scheduling here</w:t>
      </w:r>
      <w:r w:rsidR="009173E9" w:rsidRPr="005463E5">
        <w:rPr>
          <w:rFonts w:ascii="Times New Roman" w:hAnsi="Times New Roman" w:cs="Times New Roman"/>
          <w:sz w:val="20"/>
          <w:szCs w:val="20"/>
          <w:highlight w:val="yellow"/>
        </w:rPr>
        <w:t xml:space="preserve"> – Describe how the weights are chosen</w:t>
      </w:r>
      <w:r w:rsidR="00B01214" w:rsidRPr="005463E5">
        <w:rPr>
          <w:rFonts w:ascii="Times New Roman" w:hAnsi="Times New Roman" w:cs="Times New Roman"/>
          <w:sz w:val="20"/>
          <w:szCs w:val="20"/>
          <w:highlight w:val="yellow"/>
        </w:rPr>
        <w:t>]</w:t>
      </w:r>
    </w:p>
    <w:p w14:paraId="657C4828" w14:textId="594354C5" w:rsidR="000E0BB5" w:rsidRDefault="000E0BB5" w:rsidP="009E0142">
      <w:pPr>
        <w:rPr>
          <w:rFonts w:ascii="Times New Roman" w:hAnsi="Times New Roman" w:cs="Times New Roman"/>
          <w:sz w:val="20"/>
          <w:szCs w:val="20"/>
        </w:rPr>
      </w:pPr>
      <w:r w:rsidRPr="005463E5">
        <w:rPr>
          <w:rFonts w:ascii="Times New Roman" w:hAnsi="Times New Roman" w:cs="Times New Roman"/>
          <w:sz w:val="20"/>
          <w:szCs w:val="20"/>
        </w:rPr>
        <w:t>The dynamic scheduling/dispat</w:t>
      </w:r>
      <w:r w:rsidR="00444DB9" w:rsidRPr="005463E5">
        <w:rPr>
          <w:rFonts w:ascii="Times New Roman" w:hAnsi="Times New Roman" w:cs="Times New Roman"/>
          <w:sz w:val="20"/>
          <w:szCs w:val="20"/>
        </w:rPr>
        <w:t xml:space="preserve">ching method illustrated in Figures </w:t>
      </w:r>
      <w:r w:rsidR="00444DB9" w:rsidRPr="005463E5">
        <w:rPr>
          <w:rFonts w:ascii="Times New Roman" w:hAnsi="Times New Roman" w:cs="Times New Roman"/>
          <w:sz w:val="20"/>
          <w:szCs w:val="20"/>
          <w:highlight w:val="yellow"/>
        </w:rPr>
        <w:t>XX</w:t>
      </w:r>
      <w:r w:rsidR="00CA0C7D" w:rsidRPr="005463E5">
        <w:rPr>
          <w:rFonts w:ascii="Times New Roman" w:hAnsi="Times New Roman" w:cs="Times New Roman"/>
          <w:sz w:val="20"/>
          <w:szCs w:val="20"/>
        </w:rPr>
        <w:t xml:space="preserve"> </w:t>
      </w:r>
      <w:r w:rsidR="001364C4" w:rsidRPr="005463E5">
        <w:rPr>
          <w:rFonts w:ascii="Times New Roman" w:hAnsi="Times New Roman" w:cs="Times New Roman"/>
          <w:sz w:val="20"/>
          <w:szCs w:val="20"/>
        </w:rPr>
        <w:t xml:space="preserve">covers only lot-to-equipment assignments, which are </w:t>
      </w:r>
      <w:r w:rsidR="00D72600" w:rsidRPr="005463E5">
        <w:rPr>
          <w:rFonts w:ascii="Times New Roman" w:hAnsi="Times New Roman" w:cs="Times New Roman"/>
          <w:sz w:val="20"/>
          <w:szCs w:val="20"/>
        </w:rPr>
        <w:t xml:space="preserve">often made with a </w:t>
      </w:r>
      <w:r w:rsidR="00DA0DA0" w:rsidRPr="005463E5">
        <w:rPr>
          <w:rFonts w:ascii="Times New Roman" w:hAnsi="Times New Roman" w:cs="Times New Roman"/>
          <w:sz w:val="20"/>
          <w:szCs w:val="20"/>
        </w:rPr>
        <w:t>tool-</w:t>
      </w:r>
      <w:r w:rsidR="001364C4" w:rsidRPr="005463E5">
        <w:rPr>
          <w:rFonts w:ascii="Times New Roman" w:hAnsi="Times New Roman" w:cs="Times New Roman"/>
          <w:sz w:val="20"/>
          <w:szCs w:val="20"/>
        </w:rPr>
        <w:t>centric</w:t>
      </w:r>
      <w:r w:rsidR="00D72600" w:rsidRPr="005463E5">
        <w:rPr>
          <w:rFonts w:ascii="Times New Roman" w:hAnsi="Times New Roman" w:cs="Times New Roman"/>
          <w:sz w:val="20"/>
          <w:szCs w:val="20"/>
        </w:rPr>
        <w:t xml:space="preserve"> view</w:t>
      </w:r>
      <w:r w:rsidR="001364C4" w:rsidRPr="005463E5">
        <w:rPr>
          <w:rFonts w:ascii="Times New Roman" w:hAnsi="Times New Roman" w:cs="Times New Roman"/>
          <w:sz w:val="20"/>
          <w:szCs w:val="20"/>
        </w:rPr>
        <w:t xml:space="preserve">. In practice, lot-to-equipment push rules would benefit from </w:t>
      </w:r>
      <w:r w:rsidR="00A0035E">
        <w:rPr>
          <w:rFonts w:ascii="Times New Roman" w:hAnsi="Times New Roman" w:cs="Times New Roman"/>
          <w:sz w:val="20"/>
          <w:szCs w:val="20"/>
        </w:rPr>
        <w:t xml:space="preserve">more </w:t>
      </w:r>
      <w:r w:rsidR="001364C4" w:rsidRPr="005463E5">
        <w:rPr>
          <w:rFonts w:ascii="Times New Roman" w:hAnsi="Times New Roman" w:cs="Times New Roman"/>
          <w:sz w:val="20"/>
          <w:szCs w:val="20"/>
        </w:rPr>
        <w:t xml:space="preserve">information about the </w:t>
      </w:r>
      <w:r w:rsidR="00A0035E">
        <w:rPr>
          <w:rFonts w:ascii="Times New Roman" w:hAnsi="Times New Roman" w:cs="Times New Roman"/>
          <w:sz w:val="20"/>
          <w:szCs w:val="20"/>
        </w:rPr>
        <w:t>upcoming lots</w:t>
      </w:r>
      <w:r w:rsidR="00F618DC" w:rsidRPr="005463E5">
        <w:rPr>
          <w:rFonts w:ascii="Times New Roman" w:hAnsi="Times New Roman" w:cs="Times New Roman"/>
          <w:sz w:val="20"/>
          <w:szCs w:val="20"/>
        </w:rPr>
        <w:t>. For example:</w:t>
      </w:r>
      <w:r w:rsidR="00F618DC" w:rsidRPr="005463E5">
        <w:rPr>
          <w:rFonts w:ascii="Times New Roman" w:hAnsi="Times New Roman" w:cs="Times New Roman"/>
          <w:sz w:val="20"/>
          <w:szCs w:val="20"/>
        </w:rPr>
        <w:br/>
        <w:t xml:space="preserve">a) Information about the route followed by each lot and the current processing step would allow </w:t>
      </w:r>
      <w:r w:rsidR="003E45DE" w:rsidRPr="005463E5">
        <w:rPr>
          <w:rFonts w:ascii="Times New Roman" w:hAnsi="Times New Roman" w:cs="Times New Roman"/>
          <w:sz w:val="20"/>
          <w:szCs w:val="20"/>
        </w:rPr>
        <w:t xml:space="preserve">matching more-mature, high-cost </w:t>
      </w:r>
      <w:r w:rsidR="003D3FE7" w:rsidRPr="005463E5">
        <w:rPr>
          <w:rFonts w:ascii="Times New Roman" w:hAnsi="Times New Roman" w:cs="Times New Roman"/>
          <w:sz w:val="20"/>
          <w:szCs w:val="20"/>
        </w:rPr>
        <w:t xml:space="preserve">lots with high capability tools. The rationale for this </w:t>
      </w:r>
      <w:r w:rsidR="00A825D6" w:rsidRPr="005463E5">
        <w:rPr>
          <w:rFonts w:ascii="Times New Roman" w:hAnsi="Times New Roman" w:cs="Times New Roman"/>
          <w:sz w:val="20"/>
          <w:szCs w:val="20"/>
        </w:rPr>
        <w:t>modifications comes from the fact that yield becomes increasingly important as the lot matures</w:t>
      </w:r>
      <w:r w:rsidR="009E0142">
        <w:rPr>
          <w:rFonts w:ascii="Times New Roman" w:hAnsi="Times New Roman" w:cs="Times New Roman"/>
          <w:sz w:val="20"/>
          <w:szCs w:val="20"/>
        </w:rPr>
        <w:t xml:space="preserve"> because of all of the value that has been added to the lot in the previous processing stages.</w:t>
      </w:r>
    </w:p>
    <w:p w14:paraId="6BE90DB5" w14:textId="77777777" w:rsidR="00462D20" w:rsidRDefault="00462D20" w:rsidP="009E0142">
      <w:pPr>
        <w:rPr>
          <w:rFonts w:ascii="Times New Roman" w:hAnsi="Times New Roman" w:cs="Times New Roman"/>
          <w:sz w:val="20"/>
          <w:szCs w:val="20"/>
        </w:rPr>
      </w:pPr>
      <w:r>
        <w:rPr>
          <w:rFonts w:ascii="Times New Roman" w:hAnsi="Times New Roman" w:cs="Times New Roman"/>
          <w:sz w:val="20"/>
          <w:szCs w:val="20"/>
        </w:rPr>
        <w:t>b) It is preferable to assign several lots of the same type to the same e</w:t>
      </w:r>
      <w:r w:rsidR="009C29B9">
        <w:rPr>
          <w:rFonts w:ascii="Times New Roman" w:hAnsi="Times New Roman" w:cs="Times New Roman"/>
          <w:sz w:val="20"/>
          <w:szCs w:val="20"/>
        </w:rPr>
        <w:t xml:space="preserve">quipment because setup time decreases, and it benefits APC by providing </w:t>
      </w:r>
      <w:commentRangeStart w:id="1"/>
      <w:r w:rsidR="009C29B9">
        <w:rPr>
          <w:rFonts w:ascii="Times New Roman" w:hAnsi="Times New Roman" w:cs="Times New Roman"/>
          <w:sz w:val="20"/>
          <w:szCs w:val="20"/>
        </w:rPr>
        <w:t>better data</w:t>
      </w:r>
      <w:commentRangeEnd w:id="1"/>
      <w:r w:rsidR="00F1043E">
        <w:rPr>
          <w:rStyle w:val="CommentReference"/>
        </w:rPr>
        <w:commentReference w:id="1"/>
      </w:r>
      <w:r w:rsidR="009C29B9">
        <w:rPr>
          <w:rFonts w:ascii="Times New Roman" w:hAnsi="Times New Roman" w:cs="Times New Roman"/>
          <w:sz w:val="20"/>
          <w:szCs w:val="20"/>
        </w:rPr>
        <w:t xml:space="preserve"> for </w:t>
      </w:r>
      <w:proofErr w:type="spellStart"/>
      <w:r w:rsidR="009C29B9">
        <w:rPr>
          <w:rFonts w:ascii="Times New Roman" w:hAnsi="Times New Roman" w:cs="Times New Roman"/>
          <w:sz w:val="20"/>
          <w:szCs w:val="20"/>
        </w:rPr>
        <w:t>lot</w:t>
      </w:r>
      <w:proofErr w:type="spellEnd"/>
      <w:r w:rsidR="009C29B9">
        <w:rPr>
          <w:rFonts w:ascii="Times New Roman" w:hAnsi="Times New Roman" w:cs="Times New Roman"/>
          <w:sz w:val="20"/>
          <w:szCs w:val="20"/>
        </w:rPr>
        <w:t>-to-lot (L2L) control.</w:t>
      </w:r>
    </w:p>
    <w:p w14:paraId="66BFB729" w14:textId="384AA019" w:rsidR="009C29B9" w:rsidRDefault="00CE3241" w:rsidP="00B44729">
      <w:pPr>
        <w:rPr>
          <w:rFonts w:ascii="Times New Roman" w:hAnsi="Times New Roman" w:cs="Times New Roman"/>
          <w:sz w:val="20"/>
          <w:szCs w:val="20"/>
        </w:rPr>
      </w:pPr>
      <w:r>
        <w:rPr>
          <w:rFonts w:ascii="Times New Roman" w:hAnsi="Times New Roman" w:cs="Times New Roman"/>
          <w:sz w:val="20"/>
          <w:szCs w:val="20"/>
        </w:rPr>
        <w:lastRenderedPageBreak/>
        <w:t xml:space="preserve">Improving lot-to-equipment (“push”) assignments would require information from the lots running in the fab, which could be obtained from a global view of the fab. </w:t>
      </w:r>
      <w:r w:rsidR="00334FA6">
        <w:rPr>
          <w:rFonts w:ascii="Times New Roman" w:hAnsi="Times New Roman" w:cs="Times New Roman"/>
          <w:sz w:val="20"/>
          <w:szCs w:val="20"/>
        </w:rPr>
        <w:t xml:space="preserve">As described in </w:t>
      </w:r>
      <w:r w:rsidR="00334FA6" w:rsidRPr="00334FA6">
        <w:rPr>
          <w:rFonts w:ascii="Times New Roman" w:hAnsi="Times New Roman" w:cs="Times New Roman"/>
          <w:sz w:val="20"/>
          <w:szCs w:val="20"/>
          <w:highlight w:val="yellow"/>
        </w:rPr>
        <w:t>section XX</w:t>
      </w:r>
      <w:r w:rsidR="00334FA6">
        <w:rPr>
          <w:rFonts w:ascii="Times New Roman" w:hAnsi="Times New Roman" w:cs="Times New Roman"/>
          <w:sz w:val="20"/>
          <w:szCs w:val="20"/>
        </w:rPr>
        <w:t xml:space="preserve">, the proposed approach can be followed to incorporate recommendations made by factory-wide analyses. </w:t>
      </w:r>
      <w:r w:rsidR="00F1043E">
        <w:rPr>
          <w:rFonts w:ascii="Times New Roman" w:hAnsi="Times New Roman" w:cs="Times New Roman"/>
          <w:sz w:val="20"/>
          <w:szCs w:val="20"/>
        </w:rPr>
        <w:t xml:space="preserve">Let us consider the case in which we would like to </w:t>
      </w:r>
      <w:r w:rsidR="00BC5033">
        <w:rPr>
          <w:rFonts w:ascii="Times New Roman" w:hAnsi="Times New Roman" w:cs="Times New Roman"/>
          <w:sz w:val="20"/>
          <w:szCs w:val="20"/>
        </w:rPr>
        <w:t>give preference to more-mature, high-value lots</w:t>
      </w:r>
      <w:r w:rsidR="000477CB">
        <w:rPr>
          <w:rFonts w:ascii="Times New Roman" w:hAnsi="Times New Roman" w:cs="Times New Roman"/>
          <w:sz w:val="20"/>
          <w:szCs w:val="20"/>
        </w:rPr>
        <w:t xml:space="preserve">. In this case, it would be sufficient to change the structure of factor </w:t>
      </w:r>
      <w:r w:rsidR="000477CB" w:rsidRPr="000477CB">
        <w:rPr>
          <w:rFonts w:ascii="Times New Roman" w:hAnsi="Times New Roman" w:cs="Times New Roman"/>
          <w:i/>
          <w:sz w:val="20"/>
          <w:szCs w:val="20"/>
        </w:rPr>
        <w:t>f</w:t>
      </w:r>
      <w:r w:rsidR="000477CB" w:rsidRPr="000477CB">
        <w:rPr>
          <w:rFonts w:ascii="Times New Roman" w:hAnsi="Times New Roman" w:cs="Times New Roman"/>
          <w:i/>
          <w:sz w:val="20"/>
          <w:szCs w:val="20"/>
          <w:vertAlign w:val="subscript"/>
        </w:rPr>
        <w:t>2</w:t>
      </w:r>
      <w:r w:rsidR="000477CB">
        <w:rPr>
          <w:rFonts w:ascii="Times New Roman" w:hAnsi="Times New Roman" w:cs="Times New Roman"/>
          <w:sz w:val="20"/>
          <w:szCs w:val="20"/>
        </w:rPr>
        <w:t xml:space="preserve"> </w:t>
      </w:r>
      <w:r w:rsidR="00B44729">
        <w:rPr>
          <w:rFonts w:ascii="Times New Roman" w:hAnsi="Times New Roman" w:cs="Times New Roman"/>
          <w:sz w:val="20"/>
          <w:szCs w:val="20"/>
        </w:rPr>
        <w:t>so that the new factor takes into account the maturity of the wafer lot</w:t>
      </w:r>
    </w:p>
    <w:p w14:paraId="5E3F0E77" w14:textId="336CED24" w:rsidR="00523751" w:rsidRDefault="00A513A2" w:rsidP="00523751">
      <w:pPr>
        <w:ind w:left="2160" w:firstLine="720"/>
        <w:rPr>
          <w:rFonts w:ascii="Times New Roman" w:hAnsi="Times New Roman" w:cs="Times New Roman"/>
          <w:sz w:val="20"/>
          <w:szCs w:val="20"/>
        </w:rPr>
      </w:pPr>
      <w:r w:rsidRPr="00B44729">
        <w:rPr>
          <w:rFonts w:ascii="Times New Roman" w:hAnsi="Times New Roman" w:cs="Times New Roman"/>
          <w:position w:val="-24"/>
        </w:rPr>
        <w:object w:dxaOrig="2220" w:dyaOrig="620" w14:anchorId="170517A6">
          <v:shape id="_x0000_i1030" type="#_x0000_t75" style="width:97.8pt;height:27.6pt" o:ole="">
            <v:imagedata r:id="rId19" o:title=""/>
          </v:shape>
          <o:OLEObject Type="Embed" ProgID="Equation.3" ShapeID="_x0000_i1030" DrawAspect="Content" ObjectID="_1564567868" r:id="rId20"/>
        </w:object>
      </w:r>
    </w:p>
    <w:p w14:paraId="63E29B00" w14:textId="16515433" w:rsidR="00827731" w:rsidRDefault="00523751" w:rsidP="00386675">
      <w:pPr>
        <w:tabs>
          <w:tab w:val="left" w:pos="3330"/>
        </w:tabs>
        <w:rPr>
          <w:rFonts w:ascii="Times New Roman" w:hAnsi="Times New Roman" w:cs="Times New Roman"/>
          <w:sz w:val="20"/>
          <w:szCs w:val="20"/>
        </w:rPr>
      </w:pPr>
      <w:r>
        <w:rPr>
          <w:rFonts w:ascii="Times New Roman" w:hAnsi="Times New Roman" w:cs="Times New Roman"/>
          <w:sz w:val="20"/>
          <w:szCs w:val="20"/>
        </w:rPr>
        <w:t xml:space="preserve">where n indicates </w:t>
      </w:r>
      <w:r w:rsidR="00D649C8">
        <w:rPr>
          <w:rFonts w:ascii="Times New Roman" w:hAnsi="Times New Roman" w:cs="Times New Roman"/>
          <w:sz w:val="20"/>
          <w:szCs w:val="20"/>
        </w:rPr>
        <w:t>the current operational step and N is the total number of steps for the lot.</w:t>
      </w:r>
    </w:p>
    <w:p w14:paraId="4917F82D" w14:textId="3E3134A5" w:rsidR="000E3233" w:rsidRDefault="00AD1CD0" w:rsidP="000E3233">
      <w:pPr>
        <w:tabs>
          <w:tab w:val="left" w:pos="3330"/>
        </w:tabs>
        <w:rPr>
          <w:rFonts w:ascii="Times New Roman" w:hAnsi="Times New Roman" w:cs="Times New Roman"/>
        </w:rPr>
      </w:pPr>
      <w:r>
        <w:rPr>
          <w:rFonts w:ascii="Times New Roman" w:hAnsi="Times New Roman" w:cs="Times New Roman"/>
          <w:sz w:val="20"/>
          <w:szCs w:val="20"/>
        </w:rPr>
        <w:t xml:space="preserve">The possibility of incorporating information about the route followed by the lots, as provided by the global view of the fab, goes far beyond the example illustrated herein. </w:t>
      </w:r>
      <w:r w:rsidR="000E3233">
        <w:rPr>
          <w:rFonts w:ascii="Times New Roman" w:hAnsi="Times New Roman" w:cs="Times New Roman"/>
          <w:sz w:val="20"/>
          <w:szCs w:val="20"/>
        </w:rPr>
        <w:t>The dynamic scheduling approach may be used to aid with “training” (sequencing wafer lots of the same kind), or with predictive scheduling. The general form of the integer programming problem would remain the same and it would only differ on the factors used to construct the cost function (1).</w:t>
      </w:r>
    </w:p>
    <w:p w14:paraId="7682F055" w14:textId="77777777" w:rsidR="005C4F76" w:rsidRDefault="005C4F76" w:rsidP="005C4F76">
      <w:pPr>
        <w:tabs>
          <w:tab w:val="left" w:pos="3330"/>
        </w:tabs>
        <w:rPr>
          <w:rFonts w:ascii="Times New Roman" w:hAnsi="Times New Roman" w:cs="Times New Roman"/>
          <w:sz w:val="20"/>
          <w:szCs w:val="20"/>
        </w:rPr>
      </w:pPr>
      <w:r>
        <w:rPr>
          <w:rFonts w:ascii="Times New Roman" w:hAnsi="Times New Roman" w:cs="Times New Roman"/>
          <w:sz w:val="20"/>
          <w:szCs w:val="20"/>
        </w:rPr>
        <w:t>[Show simulation results of capability-aware scheduling with recommendations from fab-wide analysis here]</w:t>
      </w:r>
    </w:p>
    <w:p w14:paraId="184AD76E" w14:textId="77777777" w:rsidR="00CB6C61" w:rsidRDefault="00CB6C61" w:rsidP="005C4F76">
      <w:pPr>
        <w:tabs>
          <w:tab w:val="left" w:pos="3330"/>
        </w:tabs>
        <w:rPr>
          <w:rFonts w:ascii="Times New Roman" w:hAnsi="Times New Roman" w:cs="Times New Roman"/>
          <w:sz w:val="20"/>
          <w:szCs w:val="20"/>
        </w:rPr>
      </w:pPr>
    </w:p>
    <w:p w14:paraId="0A3755D4" w14:textId="77777777" w:rsidR="00CB6C61" w:rsidRDefault="00CB6C61" w:rsidP="005C4F76">
      <w:pPr>
        <w:tabs>
          <w:tab w:val="left" w:pos="3330"/>
        </w:tabs>
        <w:rPr>
          <w:rFonts w:ascii="Times New Roman" w:hAnsi="Times New Roman" w:cs="Times New Roman"/>
          <w:sz w:val="20"/>
          <w:szCs w:val="20"/>
        </w:rPr>
      </w:pPr>
      <w:r>
        <w:rPr>
          <w:rFonts w:ascii="Times New Roman" w:hAnsi="Times New Roman" w:cs="Times New Roman"/>
          <w:sz w:val="20"/>
          <w:szCs w:val="20"/>
        </w:rPr>
        <w:t>References</w:t>
      </w:r>
    </w:p>
    <w:p w14:paraId="07E468B5" w14:textId="77777777" w:rsidR="00CB6C61" w:rsidRDefault="00CB6C61" w:rsidP="005C4F76">
      <w:pPr>
        <w:tabs>
          <w:tab w:val="left" w:pos="3330"/>
        </w:tabs>
        <w:rPr>
          <w:rFonts w:ascii="Times New Roman" w:hAnsi="Times New Roman" w:cs="Times New Roman"/>
          <w:sz w:val="20"/>
          <w:szCs w:val="20"/>
        </w:rPr>
      </w:pPr>
      <w:r>
        <w:rPr>
          <w:rFonts w:ascii="Times New Roman" w:hAnsi="Times New Roman" w:cs="Times New Roman"/>
          <w:sz w:val="20"/>
          <w:szCs w:val="20"/>
        </w:rPr>
        <w:t xml:space="preserve">[1] </w:t>
      </w:r>
      <w:proofErr w:type="spellStart"/>
      <w:r w:rsidRPr="00CB6C61">
        <w:rPr>
          <w:rFonts w:ascii="Times New Roman" w:hAnsi="Times New Roman" w:cs="Times New Roman"/>
          <w:sz w:val="20"/>
          <w:szCs w:val="20"/>
        </w:rPr>
        <w:t>Kempf</w:t>
      </w:r>
      <w:proofErr w:type="spellEnd"/>
      <w:r w:rsidRPr="00CB6C61">
        <w:rPr>
          <w:rFonts w:ascii="Times New Roman" w:hAnsi="Times New Roman" w:cs="Times New Roman"/>
          <w:sz w:val="20"/>
          <w:szCs w:val="20"/>
        </w:rPr>
        <w:t>, K. (1994). Intel five-machine six step mini-fab description. Intel/ASU Report, Arizona State University.</w:t>
      </w:r>
    </w:p>
    <w:p w14:paraId="60918E31" w14:textId="77777777" w:rsidR="00CB6C61" w:rsidRDefault="00CB6C61" w:rsidP="005C4F76">
      <w:pPr>
        <w:tabs>
          <w:tab w:val="left" w:pos="3330"/>
        </w:tabs>
        <w:rPr>
          <w:rFonts w:ascii="Times New Roman" w:hAnsi="Times New Roman" w:cs="Times New Roman"/>
          <w:sz w:val="20"/>
          <w:szCs w:val="20"/>
        </w:rPr>
      </w:pPr>
      <w:r>
        <w:rPr>
          <w:rFonts w:ascii="Times New Roman" w:hAnsi="Times New Roman" w:cs="Times New Roman"/>
          <w:sz w:val="20"/>
          <w:szCs w:val="20"/>
        </w:rPr>
        <w:t xml:space="preserve">[2] </w:t>
      </w:r>
      <w:r w:rsidR="00900AC8" w:rsidRPr="00900AC8">
        <w:rPr>
          <w:rFonts w:ascii="Times New Roman" w:hAnsi="Times New Roman" w:cs="Times New Roman"/>
          <w:sz w:val="20"/>
          <w:szCs w:val="20"/>
        </w:rPr>
        <w:t>Vargas-</w:t>
      </w:r>
      <w:proofErr w:type="spellStart"/>
      <w:r w:rsidR="00900AC8" w:rsidRPr="00900AC8">
        <w:rPr>
          <w:rFonts w:ascii="Times New Roman" w:hAnsi="Times New Roman" w:cs="Times New Roman"/>
          <w:sz w:val="20"/>
          <w:szCs w:val="20"/>
        </w:rPr>
        <w:t>Villamil</w:t>
      </w:r>
      <w:proofErr w:type="spellEnd"/>
      <w:r w:rsidR="00900AC8" w:rsidRPr="00900AC8">
        <w:rPr>
          <w:rFonts w:ascii="Times New Roman" w:hAnsi="Times New Roman" w:cs="Times New Roman"/>
          <w:sz w:val="20"/>
          <w:szCs w:val="20"/>
        </w:rPr>
        <w:t xml:space="preserve">, F. D., Rivera, D. E., &amp; </w:t>
      </w:r>
      <w:proofErr w:type="spellStart"/>
      <w:r w:rsidR="00900AC8" w:rsidRPr="00900AC8">
        <w:rPr>
          <w:rFonts w:ascii="Times New Roman" w:hAnsi="Times New Roman" w:cs="Times New Roman"/>
          <w:sz w:val="20"/>
          <w:szCs w:val="20"/>
        </w:rPr>
        <w:t>Kempf</w:t>
      </w:r>
      <w:proofErr w:type="spellEnd"/>
      <w:r w:rsidR="00900AC8" w:rsidRPr="00900AC8">
        <w:rPr>
          <w:rFonts w:ascii="Times New Roman" w:hAnsi="Times New Roman" w:cs="Times New Roman"/>
          <w:sz w:val="20"/>
          <w:szCs w:val="20"/>
        </w:rPr>
        <w:t>, K. G. (2003). A hierarchical approach to production control of reentrant semiconductor manufacturing lines. IEEE Transactions on control systems technology, 11(4), 578-587.</w:t>
      </w:r>
    </w:p>
    <w:p w14:paraId="4B08CE9C" w14:textId="77777777" w:rsidR="00900AC8" w:rsidRDefault="00900AC8" w:rsidP="005C4F76">
      <w:pPr>
        <w:tabs>
          <w:tab w:val="left" w:pos="3330"/>
        </w:tabs>
        <w:rPr>
          <w:rFonts w:ascii="Times New Roman" w:hAnsi="Times New Roman" w:cs="Times New Roman"/>
          <w:sz w:val="20"/>
          <w:szCs w:val="20"/>
        </w:rPr>
      </w:pPr>
      <w:r>
        <w:rPr>
          <w:rFonts w:ascii="Times New Roman" w:hAnsi="Times New Roman" w:cs="Times New Roman"/>
          <w:sz w:val="20"/>
          <w:szCs w:val="20"/>
        </w:rPr>
        <w:t xml:space="preserve">[3] </w:t>
      </w:r>
      <w:r w:rsidRPr="00900AC8">
        <w:rPr>
          <w:rFonts w:ascii="Times New Roman" w:hAnsi="Times New Roman" w:cs="Times New Roman"/>
          <w:sz w:val="20"/>
          <w:szCs w:val="20"/>
        </w:rPr>
        <w:t xml:space="preserve">Yoon, H. J., &amp; Shen, W. (2008). A </w:t>
      </w:r>
      <w:proofErr w:type="spellStart"/>
      <w:r w:rsidRPr="00900AC8">
        <w:rPr>
          <w:rFonts w:ascii="Times New Roman" w:hAnsi="Times New Roman" w:cs="Times New Roman"/>
          <w:sz w:val="20"/>
          <w:szCs w:val="20"/>
        </w:rPr>
        <w:t>multiagent</w:t>
      </w:r>
      <w:proofErr w:type="spellEnd"/>
      <w:r w:rsidRPr="00900AC8">
        <w:rPr>
          <w:rFonts w:ascii="Times New Roman" w:hAnsi="Times New Roman" w:cs="Times New Roman"/>
          <w:sz w:val="20"/>
          <w:szCs w:val="20"/>
        </w:rPr>
        <w:t>-based decision-making system for semiconductor wafer fabrication with hard temporal constraints. IEEE Transactions on Semiconductor Manufacturing, 21(1), 83-91.</w:t>
      </w:r>
    </w:p>
    <w:p w14:paraId="2BEB0439" w14:textId="77777777" w:rsidR="005A27EE" w:rsidRDefault="005A27EE" w:rsidP="005C4F76">
      <w:pPr>
        <w:tabs>
          <w:tab w:val="left" w:pos="3330"/>
        </w:tabs>
        <w:rPr>
          <w:rFonts w:ascii="Times New Roman" w:hAnsi="Times New Roman" w:cs="Times New Roman"/>
          <w:sz w:val="20"/>
          <w:szCs w:val="20"/>
        </w:rPr>
      </w:pPr>
      <w:r>
        <w:rPr>
          <w:rFonts w:ascii="Times New Roman" w:hAnsi="Times New Roman" w:cs="Times New Roman"/>
          <w:sz w:val="20"/>
          <w:szCs w:val="20"/>
        </w:rPr>
        <w:t xml:space="preserve">[4] </w:t>
      </w:r>
      <w:proofErr w:type="spellStart"/>
      <w:r w:rsidRPr="005A27EE">
        <w:rPr>
          <w:rFonts w:ascii="Times New Roman" w:hAnsi="Times New Roman" w:cs="Times New Roman"/>
          <w:sz w:val="20"/>
          <w:szCs w:val="20"/>
        </w:rPr>
        <w:t>Pinedo</w:t>
      </w:r>
      <w:proofErr w:type="spellEnd"/>
      <w:r w:rsidRPr="005A27EE">
        <w:rPr>
          <w:rFonts w:ascii="Times New Roman" w:hAnsi="Times New Roman" w:cs="Times New Roman"/>
          <w:sz w:val="20"/>
          <w:szCs w:val="20"/>
        </w:rPr>
        <w:t>, M. (2012). Scheduling. New York: Springer.</w:t>
      </w:r>
    </w:p>
    <w:p w14:paraId="720DD878" w14:textId="77777777" w:rsidR="0077734E" w:rsidRDefault="0077734E" w:rsidP="005C4F76">
      <w:pPr>
        <w:tabs>
          <w:tab w:val="left" w:pos="3330"/>
        </w:tabs>
        <w:rPr>
          <w:rFonts w:ascii="Times New Roman" w:hAnsi="Times New Roman" w:cs="Times New Roman"/>
          <w:sz w:val="20"/>
          <w:szCs w:val="20"/>
        </w:rPr>
      </w:pPr>
      <w:r>
        <w:rPr>
          <w:rFonts w:ascii="Times New Roman" w:hAnsi="Times New Roman" w:cs="Times New Roman"/>
          <w:sz w:val="20"/>
          <w:szCs w:val="20"/>
        </w:rPr>
        <w:t>[5]</w:t>
      </w:r>
      <w:r w:rsidR="0028680C">
        <w:rPr>
          <w:rFonts w:ascii="Times New Roman" w:hAnsi="Times New Roman" w:cs="Times New Roman"/>
          <w:sz w:val="20"/>
          <w:szCs w:val="20"/>
        </w:rPr>
        <w:t xml:space="preserve"> </w:t>
      </w:r>
      <w:r w:rsidR="0028680C" w:rsidRPr="0028680C">
        <w:rPr>
          <w:rFonts w:ascii="Times New Roman" w:hAnsi="Times New Roman" w:cs="Times New Roman"/>
          <w:sz w:val="20"/>
          <w:szCs w:val="20"/>
        </w:rPr>
        <w:t>Fowler, J. W., &amp; Robinson, J. K. (1995). Measurement and improvement of manufacturing capacity (MIMAC) designed experiment report. SEMATECH Technology transfer.</w:t>
      </w:r>
    </w:p>
    <w:p w14:paraId="183664AA" w14:textId="77777777" w:rsidR="0077734E" w:rsidRDefault="0077734E" w:rsidP="005C4F76">
      <w:pPr>
        <w:tabs>
          <w:tab w:val="left" w:pos="3330"/>
        </w:tabs>
        <w:rPr>
          <w:rFonts w:ascii="Times New Roman" w:hAnsi="Times New Roman" w:cs="Times New Roman"/>
          <w:sz w:val="20"/>
          <w:szCs w:val="20"/>
        </w:rPr>
      </w:pPr>
      <w:r>
        <w:rPr>
          <w:rFonts w:ascii="Times New Roman" w:hAnsi="Times New Roman" w:cs="Times New Roman"/>
          <w:sz w:val="20"/>
          <w:szCs w:val="20"/>
        </w:rPr>
        <w:t xml:space="preserve">[6] Available on: </w:t>
      </w:r>
      <w:r w:rsidRPr="002E4C53">
        <w:rPr>
          <w:rFonts w:ascii="Times New Roman" w:hAnsi="Times New Roman" w:cs="Times New Roman"/>
          <w:sz w:val="20"/>
          <w:szCs w:val="20"/>
        </w:rPr>
        <w:t>http://www.six-sigma-material.com/Tables.html</w:t>
      </w:r>
    </w:p>
    <w:p w14:paraId="79C084FA" w14:textId="77777777" w:rsidR="00B427AC" w:rsidRDefault="00B427AC" w:rsidP="005C4F76">
      <w:pPr>
        <w:tabs>
          <w:tab w:val="left" w:pos="3330"/>
        </w:tabs>
        <w:rPr>
          <w:rFonts w:ascii="Times New Roman" w:hAnsi="Times New Roman" w:cs="Times New Roman"/>
          <w:sz w:val="20"/>
          <w:szCs w:val="20"/>
        </w:rPr>
      </w:pPr>
    </w:p>
    <w:p w14:paraId="69BA6600" w14:textId="77777777" w:rsidR="00900AC8" w:rsidRDefault="00900AC8" w:rsidP="005C4F76">
      <w:pPr>
        <w:tabs>
          <w:tab w:val="left" w:pos="3330"/>
        </w:tabs>
        <w:rPr>
          <w:rFonts w:ascii="Times New Roman" w:hAnsi="Times New Roman" w:cs="Times New Roman"/>
          <w:sz w:val="20"/>
          <w:szCs w:val="20"/>
        </w:rPr>
      </w:pPr>
    </w:p>
    <w:p w14:paraId="2EE7FF85" w14:textId="77777777" w:rsidR="005C4F76" w:rsidRPr="000A5736" w:rsidRDefault="005C4F76" w:rsidP="00D46CB5">
      <w:pPr>
        <w:tabs>
          <w:tab w:val="left" w:pos="3330"/>
        </w:tabs>
        <w:rPr>
          <w:rFonts w:ascii="Times New Roman" w:hAnsi="Times New Roman" w:cs="Times New Roman"/>
          <w:sz w:val="20"/>
          <w:szCs w:val="20"/>
        </w:rPr>
      </w:pPr>
    </w:p>
    <w:sectPr w:rsidR="005C4F76" w:rsidRPr="000A57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lipe Lopez" w:date="2017-07-17T10:20:00Z" w:initials="FL">
    <w:p w14:paraId="585E6605" w14:textId="77777777" w:rsidR="00F1043E" w:rsidRDefault="00F1043E">
      <w:pPr>
        <w:pStyle w:val="CommentText"/>
      </w:pPr>
      <w:r>
        <w:rPr>
          <w:rStyle w:val="CommentReference"/>
        </w:rPr>
        <w:annotationRef/>
      </w:r>
      <w:r>
        <w:t>Why is it better? Need to justify.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35AC0"/>
    <w:multiLevelType w:val="hybridMultilevel"/>
    <w:tmpl w:val="6254BEBE"/>
    <w:lvl w:ilvl="0" w:tplc="80D4AB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9C"/>
    <w:rsid w:val="000245A6"/>
    <w:rsid w:val="000477CB"/>
    <w:rsid w:val="00092AE3"/>
    <w:rsid w:val="000A5736"/>
    <w:rsid w:val="000B5376"/>
    <w:rsid w:val="000B66C4"/>
    <w:rsid w:val="000C08BF"/>
    <w:rsid w:val="000D7DB8"/>
    <w:rsid w:val="000E0BB5"/>
    <w:rsid w:val="000E3233"/>
    <w:rsid w:val="000F0A19"/>
    <w:rsid w:val="00116E78"/>
    <w:rsid w:val="001364C4"/>
    <w:rsid w:val="00151C5C"/>
    <w:rsid w:val="001766A1"/>
    <w:rsid w:val="00186879"/>
    <w:rsid w:val="00190C1D"/>
    <w:rsid w:val="001A07F7"/>
    <w:rsid w:val="001A0AB0"/>
    <w:rsid w:val="001F2E65"/>
    <w:rsid w:val="001F7244"/>
    <w:rsid w:val="00201F30"/>
    <w:rsid w:val="00224589"/>
    <w:rsid w:val="00246938"/>
    <w:rsid w:val="002639CA"/>
    <w:rsid w:val="0028680C"/>
    <w:rsid w:val="00291911"/>
    <w:rsid w:val="002C0C12"/>
    <w:rsid w:val="002E4C53"/>
    <w:rsid w:val="00317D0F"/>
    <w:rsid w:val="00334FA6"/>
    <w:rsid w:val="00342E0C"/>
    <w:rsid w:val="00386675"/>
    <w:rsid w:val="003C67C5"/>
    <w:rsid w:val="003D3FE7"/>
    <w:rsid w:val="003E45DE"/>
    <w:rsid w:val="00436389"/>
    <w:rsid w:val="00444DB9"/>
    <w:rsid w:val="004578A9"/>
    <w:rsid w:val="00462D20"/>
    <w:rsid w:val="00480CAA"/>
    <w:rsid w:val="004A2AC7"/>
    <w:rsid w:val="004C20FF"/>
    <w:rsid w:val="004D7281"/>
    <w:rsid w:val="00523751"/>
    <w:rsid w:val="0053765A"/>
    <w:rsid w:val="005463E5"/>
    <w:rsid w:val="0055375F"/>
    <w:rsid w:val="005705F4"/>
    <w:rsid w:val="00590588"/>
    <w:rsid w:val="005A27EE"/>
    <w:rsid w:val="005C4F76"/>
    <w:rsid w:val="00605B0F"/>
    <w:rsid w:val="00613F02"/>
    <w:rsid w:val="00614EF1"/>
    <w:rsid w:val="00617435"/>
    <w:rsid w:val="006220AF"/>
    <w:rsid w:val="00630375"/>
    <w:rsid w:val="00694139"/>
    <w:rsid w:val="006A4459"/>
    <w:rsid w:val="006C5939"/>
    <w:rsid w:val="006D068D"/>
    <w:rsid w:val="006E16AF"/>
    <w:rsid w:val="0071666D"/>
    <w:rsid w:val="00727E06"/>
    <w:rsid w:val="00737C9C"/>
    <w:rsid w:val="007429AD"/>
    <w:rsid w:val="0077734E"/>
    <w:rsid w:val="0078000A"/>
    <w:rsid w:val="007B0CA6"/>
    <w:rsid w:val="007F092A"/>
    <w:rsid w:val="00827731"/>
    <w:rsid w:val="008655B5"/>
    <w:rsid w:val="008A2D6A"/>
    <w:rsid w:val="008C12BD"/>
    <w:rsid w:val="008C3B3D"/>
    <w:rsid w:val="008E43EF"/>
    <w:rsid w:val="00900AC8"/>
    <w:rsid w:val="00900CF4"/>
    <w:rsid w:val="00914DDA"/>
    <w:rsid w:val="009173E9"/>
    <w:rsid w:val="00923E95"/>
    <w:rsid w:val="00933494"/>
    <w:rsid w:val="009342D7"/>
    <w:rsid w:val="00944239"/>
    <w:rsid w:val="009C29B9"/>
    <w:rsid w:val="009E0142"/>
    <w:rsid w:val="00A0035E"/>
    <w:rsid w:val="00A11E4F"/>
    <w:rsid w:val="00A17F76"/>
    <w:rsid w:val="00A222AB"/>
    <w:rsid w:val="00A513A2"/>
    <w:rsid w:val="00A825D6"/>
    <w:rsid w:val="00AA742F"/>
    <w:rsid w:val="00AC1259"/>
    <w:rsid w:val="00AC2A54"/>
    <w:rsid w:val="00AD1CD0"/>
    <w:rsid w:val="00AD24FE"/>
    <w:rsid w:val="00AE0C74"/>
    <w:rsid w:val="00B0119C"/>
    <w:rsid w:val="00B01214"/>
    <w:rsid w:val="00B33287"/>
    <w:rsid w:val="00B427AC"/>
    <w:rsid w:val="00B44729"/>
    <w:rsid w:val="00B50A4A"/>
    <w:rsid w:val="00B64A1B"/>
    <w:rsid w:val="00B84435"/>
    <w:rsid w:val="00B9167C"/>
    <w:rsid w:val="00BB4D4E"/>
    <w:rsid w:val="00BC5033"/>
    <w:rsid w:val="00BD2D51"/>
    <w:rsid w:val="00BD45AF"/>
    <w:rsid w:val="00C14D04"/>
    <w:rsid w:val="00C16C61"/>
    <w:rsid w:val="00C52AB5"/>
    <w:rsid w:val="00C9191B"/>
    <w:rsid w:val="00CA0C7D"/>
    <w:rsid w:val="00CB261B"/>
    <w:rsid w:val="00CB6C61"/>
    <w:rsid w:val="00CE3241"/>
    <w:rsid w:val="00D24861"/>
    <w:rsid w:val="00D4687C"/>
    <w:rsid w:val="00D46CB5"/>
    <w:rsid w:val="00D649C8"/>
    <w:rsid w:val="00D71A5F"/>
    <w:rsid w:val="00D72600"/>
    <w:rsid w:val="00DA01CC"/>
    <w:rsid w:val="00DA0DA0"/>
    <w:rsid w:val="00DC40B6"/>
    <w:rsid w:val="00DF2E0E"/>
    <w:rsid w:val="00E37EDE"/>
    <w:rsid w:val="00E81091"/>
    <w:rsid w:val="00E86DEB"/>
    <w:rsid w:val="00E97B46"/>
    <w:rsid w:val="00F1043E"/>
    <w:rsid w:val="00F3079A"/>
    <w:rsid w:val="00F618DC"/>
    <w:rsid w:val="00F76F4B"/>
    <w:rsid w:val="00F839D0"/>
    <w:rsid w:val="00FB255A"/>
    <w:rsid w:val="00FE1FDE"/>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7731"/>
    <w:pPr>
      <w:ind w:left="720"/>
      <w:contextualSpacing/>
    </w:pPr>
  </w:style>
  <w:style w:type="character" w:styleId="CommentReference">
    <w:name w:val="annotation reference"/>
    <w:basedOn w:val="DefaultParagraphFont"/>
    <w:uiPriority w:val="99"/>
    <w:semiHidden/>
    <w:unhideWhenUsed/>
    <w:rsid w:val="00F1043E"/>
    <w:rPr>
      <w:sz w:val="16"/>
      <w:szCs w:val="16"/>
    </w:rPr>
  </w:style>
  <w:style w:type="paragraph" w:styleId="CommentText">
    <w:name w:val="annotation text"/>
    <w:basedOn w:val="Normal"/>
    <w:link w:val="CommentTextChar"/>
    <w:uiPriority w:val="99"/>
    <w:semiHidden/>
    <w:unhideWhenUsed/>
    <w:rsid w:val="00F1043E"/>
    <w:pPr>
      <w:spacing w:line="240" w:lineRule="auto"/>
    </w:pPr>
    <w:rPr>
      <w:sz w:val="20"/>
      <w:szCs w:val="20"/>
    </w:rPr>
  </w:style>
  <w:style w:type="character" w:customStyle="1" w:styleId="CommentTextChar">
    <w:name w:val="Comment Text Char"/>
    <w:basedOn w:val="DefaultParagraphFont"/>
    <w:link w:val="CommentText"/>
    <w:uiPriority w:val="99"/>
    <w:semiHidden/>
    <w:rsid w:val="00F1043E"/>
    <w:rPr>
      <w:sz w:val="20"/>
      <w:szCs w:val="20"/>
    </w:rPr>
  </w:style>
  <w:style w:type="paragraph" w:styleId="CommentSubject">
    <w:name w:val="annotation subject"/>
    <w:basedOn w:val="CommentText"/>
    <w:next w:val="CommentText"/>
    <w:link w:val="CommentSubjectChar"/>
    <w:uiPriority w:val="99"/>
    <w:semiHidden/>
    <w:unhideWhenUsed/>
    <w:rsid w:val="00F1043E"/>
    <w:rPr>
      <w:b/>
      <w:bCs/>
    </w:rPr>
  </w:style>
  <w:style w:type="character" w:customStyle="1" w:styleId="CommentSubjectChar">
    <w:name w:val="Comment Subject Char"/>
    <w:basedOn w:val="CommentTextChar"/>
    <w:link w:val="CommentSubject"/>
    <w:uiPriority w:val="99"/>
    <w:semiHidden/>
    <w:rsid w:val="00F1043E"/>
    <w:rPr>
      <w:b/>
      <w:bCs/>
      <w:sz w:val="20"/>
      <w:szCs w:val="20"/>
    </w:rPr>
  </w:style>
  <w:style w:type="paragraph" w:styleId="BalloonText">
    <w:name w:val="Balloon Text"/>
    <w:basedOn w:val="Normal"/>
    <w:link w:val="BalloonTextChar"/>
    <w:uiPriority w:val="99"/>
    <w:semiHidden/>
    <w:unhideWhenUsed/>
    <w:rsid w:val="00F10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43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7731"/>
    <w:pPr>
      <w:ind w:left="720"/>
      <w:contextualSpacing/>
    </w:pPr>
  </w:style>
  <w:style w:type="character" w:styleId="CommentReference">
    <w:name w:val="annotation reference"/>
    <w:basedOn w:val="DefaultParagraphFont"/>
    <w:uiPriority w:val="99"/>
    <w:semiHidden/>
    <w:unhideWhenUsed/>
    <w:rsid w:val="00F1043E"/>
    <w:rPr>
      <w:sz w:val="16"/>
      <w:szCs w:val="16"/>
    </w:rPr>
  </w:style>
  <w:style w:type="paragraph" w:styleId="CommentText">
    <w:name w:val="annotation text"/>
    <w:basedOn w:val="Normal"/>
    <w:link w:val="CommentTextChar"/>
    <w:uiPriority w:val="99"/>
    <w:semiHidden/>
    <w:unhideWhenUsed/>
    <w:rsid w:val="00F1043E"/>
    <w:pPr>
      <w:spacing w:line="240" w:lineRule="auto"/>
    </w:pPr>
    <w:rPr>
      <w:sz w:val="20"/>
      <w:szCs w:val="20"/>
    </w:rPr>
  </w:style>
  <w:style w:type="character" w:customStyle="1" w:styleId="CommentTextChar">
    <w:name w:val="Comment Text Char"/>
    <w:basedOn w:val="DefaultParagraphFont"/>
    <w:link w:val="CommentText"/>
    <w:uiPriority w:val="99"/>
    <w:semiHidden/>
    <w:rsid w:val="00F1043E"/>
    <w:rPr>
      <w:sz w:val="20"/>
      <w:szCs w:val="20"/>
    </w:rPr>
  </w:style>
  <w:style w:type="paragraph" w:styleId="CommentSubject">
    <w:name w:val="annotation subject"/>
    <w:basedOn w:val="CommentText"/>
    <w:next w:val="CommentText"/>
    <w:link w:val="CommentSubjectChar"/>
    <w:uiPriority w:val="99"/>
    <w:semiHidden/>
    <w:unhideWhenUsed/>
    <w:rsid w:val="00F1043E"/>
    <w:rPr>
      <w:b/>
      <w:bCs/>
    </w:rPr>
  </w:style>
  <w:style w:type="character" w:customStyle="1" w:styleId="CommentSubjectChar">
    <w:name w:val="Comment Subject Char"/>
    <w:basedOn w:val="CommentTextChar"/>
    <w:link w:val="CommentSubject"/>
    <w:uiPriority w:val="99"/>
    <w:semiHidden/>
    <w:rsid w:val="00F1043E"/>
    <w:rPr>
      <w:b/>
      <w:bCs/>
      <w:sz w:val="20"/>
      <w:szCs w:val="20"/>
    </w:rPr>
  </w:style>
  <w:style w:type="paragraph" w:styleId="BalloonText">
    <w:name w:val="Balloon Text"/>
    <w:basedOn w:val="Normal"/>
    <w:link w:val="BalloonTextChar"/>
    <w:uiPriority w:val="99"/>
    <w:semiHidden/>
    <w:unhideWhenUsed/>
    <w:rsid w:val="00F10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614D-6BEB-4AE7-A015-FB377C8E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Lopez</dc:creator>
  <cp:lastModifiedBy>Kovalenko, Ilya</cp:lastModifiedBy>
  <cp:revision>2</cp:revision>
  <dcterms:created xsi:type="dcterms:W3CDTF">2017-08-18T17:24:00Z</dcterms:created>
  <dcterms:modified xsi:type="dcterms:W3CDTF">2017-08-18T17:24:00Z</dcterms:modified>
</cp:coreProperties>
</file>