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52"/>
        </w:rPr>
        <w:t>HealthRisk AI</w:t>
      </w:r>
    </w:p>
    <w:p>
      <w:pPr>
        <w:spacing w:before="0" w:after="280"/>
      </w:pPr>
      <w:r>
        <w:rPr>
          <w:rFonts w:ascii="Calibri" w:hAnsi="Calibri"/>
          <w:color w:val="009688"/>
          <w:sz w:val="26"/>
        </w:rPr>
        <w:t>Cardiometabolic Risk Analytics &amp; Regional Nutrition Decision-Support System</w:t>
      </w:r>
    </w:p>
    <w:p>
      <w:pPr>
        <w:spacing w:after="360"/>
      </w:pPr>
      <w:r>
        <w:rPr>
          <w:rFonts w:ascii="Calibri" w:hAnsi="Calibri"/>
          <w:i/>
          <w:color w:val="475569"/>
          <w:sz w:val="19"/>
        </w:rPr>
        <w:t>Technical Architecture • Model Evaluation • Clinical Decision Support • System Report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b/>
                <w:color w:val="B91C1C"/>
                <w:sz w:val="19"/>
              </w:rPr>
              <w:t xml:space="preserve">IMPORTANT CLINICAL NOTICE: </w:t>
            </w:r>
            <w:r>
              <w:rPr>
                <w:color w:val="1E293B"/>
                <w:sz w:val="19"/>
              </w:rPr>
              <w:t>HealthRisk AI is strictly an educational prototype and demonstration of applied machine learning pipelines. It is NOT a medical diagnostic tool or clinical medical device. All predictive risk categories represent synthetic model estimations, never absolute disease probabilities. Always consult a licensed physician for clinical interpretation.</w:t>
            </w:r>
          </w:p>
        </w:tc>
      </w:tr>
    </w:tbl>
    <w:p>
      <w:pPr>
        <w:spacing w:after="160"/>
      </w:pPr>
    </w:p>
    <w:p>
      <w:pPr>
        <w:spacing w:before="280" w:after="120"/>
      </w:pPr>
      <w:r>
        <w:rPr>
          <w:rFonts w:ascii="Calibri" w:hAnsi="Calibri"/>
          <w:b/>
          <w:color w:val="0F172A"/>
          <w:sz w:val="30"/>
        </w:rPr>
        <w:t>1. Executive Summary &amp; Problem Scope</w:t>
      </w:r>
    </w:p>
    <w:p>
      <w:pPr>
        <w:spacing w:after="120"/>
      </w:pPr>
      <w:r>
        <w:t>Cardiovascular diseases, hypertension, and type 2 diabetes represent major public health burdens globally and in South Asia. Early screening of multi-factorial markers (such as blood pressure, body mass index, lipid panels, glycemic levels, and lifestyle habits) is critical for preventive health awareness. However, traditional analytics tools frequently present complex numbers without context, rely on opaque black-box algorithms, or fail to provide culturally accessible dietary alternatives.</w:t>
      </w:r>
    </w:p>
    <w:p>
      <w:pPr>
        <w:spacing w:after="200"/>
      </w:pPr>
      <w:r>
        <w:t>HealthRisk AI was engineered as a self-contained, offline-runnable software application that bridges physiological validation, zero-leakage machine learning inference, and evidence-based nutrition science. It runs entirely on open-source Python technologies (Streamlit, Scikit-learn, Pandas, NumPy, Plotly, Joblib) without external API dependencies or paid cloud databases.</w:t>
      </w:r>
    </w:p>
    <w:p>
      <w:pPr>
        <w:spacing w:before="280" w:after="120"/>
      </w:pPr>
      <w:r>
        <w:rPr>
          <w:rFonts w:ascii="Calibri" w:hAnsi="Calibri"/>
          <w:b/>
          <w:color w:val="0F172A"/>
          <w:sz w:val="30"/>
        </w:rPr>
        <w:t>2. High-Level Architecture &amp; Component Flow</w:t>
      </w:r>
    </w:p>
    <w:p>
      <w:r>
        <w:t>The system separates user input processing into distinct deterministic validation, emergency detection, machine learning classification, and rule-based recommendation pipelines:</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60" w:type="dxa"/>
              <w:bottom w:w="60" w:type="dxa"/>
              <w:left w:w="80" w:type="dxa"/>
              <w:right w:w="80" w:type="dxa"/>
            </w:tcMar>
          </w:tcPr>
          <w:p>
            <w:r>
              <w:rPr>
                <w:b/>
                <w:color w:val="FFFFFF"/>
                <w:sz w:val="19"/>
              </w:rPr>
              <w:t>Step 1: Input Validation</w:t>
            </w:r>
          </w:p>
        </w:tc>
        <w:tc>
          <w:tcPr>
            <w:tcW w:type="dxa" w:w="576"/>
            <w:shd w:fill="F8FAFC"/>
            <w:tcMar>
              <w:top w:w="60" w:type="dxa"/>
              <w:bottom w:w="60" w:type="dxa"/>
              <w:left w:w="40" w:type="dxa"/>
              <w:right w:w="40" w:type="dxa"/>
            </w:tcMar>
          </w:tcPr>
          <w:p>
            <w:pPr>
              <w:jc w:val="center"/>
            </w:pPr>
            <w:r>
              <w:rPr>
                <w:b/>
                <w:color w:val="009688"/>
              </w:rPr>
              <w:t>--&gt;</w:t>
            </w:r>
          </w:p>
        </w:tc>
        <w:tc>
          <w:tcPr>
            <w:tcW w:type="dxa" w:w="6192"/>
            <w:shd w:fill="F1F5F9"/>
            <w:tcMar>
              <w:top w:w="60" w:type="dxa"/>
              <w:bottom w:w="60" w:type="dxa"/>
              <w:left w:w="80" w:type="dxa"/>
              <w:right w:w="80" w:type="dxa"/>
            </w:tcMar>
          </w:tcPr>
          <w:p>
            <w:r>
              <w:rPr>
                <w:color w:val="1E293B"/>
                <w:sz w:val="18"/>
              </w:rPr>
              <w:t>Deterministic checks against biological ranges (src/validation.py). Catches typos and out-of-range inputs.</w:t>
            </w:r>
          </w:p>
        </w:tc>
      </w:tr>
      <w:tr>
        <w:tc>
          <w:tcPr>
            <w:tcW w:type="dxa" w:w="2592"/>
            <w:shd w:fill="1E293B"/>
            <w:tcMar>
              <w:top w:w="60" w:type="dxa"/>
              <w:bottom w:w="60" w:type="dxa"/>
              <w:left w:w="80" w:type="dxa"/>
              <w:right w:w="80" w:type="dxa"/>
            </w:tcMar>
          </w:tcPr>
          <w:p>
            <w:r>
              <w:rPr>
                <w:b/>
                <w:color w:val="FFFFFF"/>
                <w:sz w:val="19"/>
              </w:rPr>
              <w:t>Step 2: Emergency Triage</w:t>
            </w:r>
          </w:p>
        </w:tc>
        <w:tc>
          <w:tcPr>
            <w:tcW w:type="dxa" w:w="576"/>
            <w:shd w:fill="F8FAFC"/>
            <w:tcMar>
              <w:top w:w="60" w:type="dxa"/>
              <w:bottom w:w="60" w:type="dxa"/>
              <w:left w:w="40" w:type="dxa"/>
              <w:right w:w="40" w:type="dxa"/>
            </w:tcMar>
          </w:tcPr>
          <w:p>
            <w:pPr>
              <w:jc w:val="center"/>
            </w:pPr>
            <w:r>
              <w:rPr>
                <w:b/>
                <w:color w:val="009688"/>
              </w:rPr>
              <w:t>--&gt;</w:t>
            </w:r>
          </w:p>
        </w:tc>
        <w:tc>
          <w:tcPr>
            <w:tcW w:type="dxa" w:w="6192"/>
            <w:shd w:fill="E2E8F0"/>
            <w:tcMar>
              <w:top w:w="60" w:type="dxa"/>
              <w:bottom w:w="60" w:type="dxa"/>
              <w:left w:w="80" w:type="dxa"/>
              <w:right w:w="80" w:type="dxa"/>
            </w:tcMar>
          </w:tcPr>
          <w:p>
            <w:r>
              <w:rPr>
                <w:color w:val="1E293B"/>
                <w:sz w:val="18"/>
              </w:rPr>
              <w:t>Critical alert detection for Hypertensive Crisis (&gt;=180/120 mmHg), severe hypoglycemia (&lt;54 mg/dL), or severe hyperglycemia (&gt;=300 mg/dL).</w:t>
            </w:r>
          </w:p>
        </w:tc>
      </w:tr>
      <w:tr>
        <w:tc>
          <w:tcPr>
            <w:tcW w:type="dxa" w:w="2592"/>
            <w:shd w:fill="0F172A"/>
            <w:tcMar>
              <w:top w:w="60" w:type="dxa"/>
              <w:bottom w:w="60" w:type="dxa"/>
              <w:left w:w="80" w:type="dxa"/>
              <w:right w:w="80" w:type="dxa"/>
            </w:tcMar>
          </w:tcPr>
          <w:p>
            <w:r>
              <w:rPr>
                <w:b/>
                <w:color w:val="FFFFFF"/>
                <w:sz w:val="19"/>
              </w:rPr>
              <w:t>Step 3: ML Inference</w:t>
            </w:r>
          </w:p>
        </w:tc>
        <w:tc>
          <w:tcPr>
            <w:tcW w:type="dxa" w:w="576"/>
            <w:shd w:fill="F8FAFC"/>
            <w:tcMar>
              <w:top w:w="60" w:type="dxa"/>
              <w:bottom w:w="60" w:type="dxa"/>
              <w:left w:w="40" w:type="dxa"/>
              <w:right w:w="40" w:type="dxa"/>
            </w:tcMar>
          </w:tcPr>
          <w:p>
            <w:pPr>
              <w:jc w:val="center"/>
            </w:pPr>
            <w:r>
              <w:rPr>
                <w:b/>
                <w:color w:val="009688"/>
              </w:rPr>
              <w:t>--&gt;</w:t>
            </w:r>
          </w:p>
        </w:tc>
        <w:tc>
          <w:tcPr>
            <w:tcW w:type="dxa" w:w="6192"/>
            <w:shd w:fill="F1F5F9"/>
            <w:tcMar>
              <w:top w:w="60" w:type="dxa"/>
              <w:bottom w:w="60" w:type="dxa"/>
              <w:left w:w="80" w:type="dxa"/>
              <w:right w:w="80" w:type="dxa"/>
            </w:tcMar>
          </w:tcPr>
          <w:p>
            <w:r>
              <w:rPr>
                <w:color w:val="1E293B"/>
                <w:sz w:val="18"/>
              </w:rPr>
              <w:t>Fitted Scikit-learn ColumnTransformer pipeline computes class likelihoods (Lower, Moderate, or Higher synthetic risk category).</w:t>
            </w:r>
          </w:p>
        </w:tc>
      </w:tr>
      <w:tr>
        <w:tc>
          <w:tcPr>
            <w:tcW w:type="dxa" w:w="2592"/>
            <w:shd w:fill="1E293B"/>
            <w:tcMar>
              <w:top w:w="60" w:type="dxa"/>
              <w:bottom w:w="60" w:type="dxa"/>
              <w:left w:w="80" w:type="dxa"/>
              <w:right w:w="80" w:type="dxa"/>
            </w:tcMar>
          </w:tcPr>
          <w:p>
            <w:r>
              <w:rPr>
                <w:b/>
                <w:color w:val="FFFFFF"/>
                <w:sz w:val="19"/>
              </w:rPr>
              <w:t>Step 4: Clinical Rules</w:t>
            </w:r>
          </w:p>
        </w:tc>
        <w:tc>
          <w:tcPr>
            <w:tcW w:type="dxa" w:w="576"/>
            <w:shd w:fill="F8FAFC"/>
            <w:tcMar>
              <w:top w:w="60" w:type="dxa"/>
              <w:bottom w:w="60" w:type="dxa"/>
              <w:left w:w="40" w:type="dxa"/>
              <w:right w:w="40" w:type="dxa"/>
            </w:tcMar>
          </w:tcPr>
          <w:p>
            <w:pPr>
              <w:jc w:val="center"/>
            </w:pPr>
            <w:r>
              <w:rPr>
                <w:b/>
                <w:color w:val="009688"/>
              </w:rPr>
              <w:t>--&gt;</w:t>
            </w:r>
          </w:p>
        </w:tc>
        <w:tc>
          <w:tcPr>
            <w:tcW w:type="dxa" w:w="6192"/>
            <w:shd w:fill="E2E8F0"/>
            <w:tcMar>
              <w:top w:w="60" w:type="dxa"/>
              <w:bottom w:w="60" w:type="dxa"/>
              <w:left w:w="80" w:type="dxa"/>
              <w:right w:w="80" w:type="dxa"/>
            </w:tcMar>
          </w:tcPr>
          <w:p>
            <w:r>
              <w:rPr>
                <w:color w:val="1E293B"/>
                <w:sz w:val="18"/>
              </w:rPr>
              <w:t>Formulates qualitative lifestyle and dietary advice based on WHO, ACC/AHA, NCEP ATP III, and ADA 2024 guidelines.</w:t>
            </w:r>
          </w:p>
        </w:tc>
      </w:tr>
      <w:tr>
        <w:tc>
          <w:tcPr>
            <w:tcW w:type="dxa" w:w="2592"/>
            <w:shd w:fill="0F172A"/>
            <w:tcMar>
              <w:top w:w="60" w:type="dxa"/>
              <w:bottom w:w="60" w:type="dxa"/>
              <w:left w:w="80" w:type="dxa"/>
              <w:right w:w="80" w:type="dxa"/>
            </w:tcMar>
          </w:tcPr>
          <w:p>
            <w:r>
              <w:rPr>
                <w:b/>
                <w:color w:val="FFFFFF"/>
                <w:sz w:val="19"/>
              </w:rPr>
              <w:t>Step 5: Meal Generation</w:t>
            </w:r>
          </w:p>
        </w:tc>
        <w:tc>
          <w:tcPr>
            <w:tcW w:type="dxa" w:w="576"/>
            <w:shd w:fill="F8FAFC"/>
            <w:tcMar>
              <w:top w:w="60" w:type="dxa"/>
              <w:bottom w:w="60" w:type="dxa"/>
              <w:left w:w="40" w:type="dxa"/>
              <w:right w:w="40" w:type="dxa"/>
            </w:tcMar>
          </w:tcPr>
          <w:p>
            <w:pPr>
              <w:jc w:val="center"/>
            </w:pPr>
            <w:r>
              <w:rPr>
                <w:b/>
                <w:color w:val="009688"/>
              </w:rPr>
              <w:t>--&gt;</w:t>
            </w:r>
          </w:p>
        </w:tc>
        <w:tc>
          <w:tcPr>
            <w:tcW w:type="dxa" w:w="6192"/>
            <w:shd w:fill="F1F5F9"/>
            <w:tcMar>
              <w:top w:w="60" w:type="dxa"/>
              <w:bottom w:w="60" w:type="dxa"/>
              <w:left w:w="80" w:type="dxa"/>
              <w:right w:w="80" w:type="dxa"/>
            </w:tcMar>
          </w:tcPr>
          <w:p>
            <w:r>
              <w:rPr>
                <w:color w:val="1E293B"/>
                <w:sz w:val="18"/>
              </w:rPr>
              <w:t>Assembles daily South Indian meal plans complying with diet types (Veg/Vegan/Egg/Non-Veg) and declared food allergies.</w:t>
            </w:r>
          </w:p>
        </w:tc>
      </w:tr>
    </w:tbl>
    <w:p>
      <w:pPr>
        <w:spacing w:after="200"/>
      </w:pPr>
    </w:p>
    <w:p>
      <w:pPr>
        <w:spacing w:before="280" w:after="120"/>
      </w:pPr>
      <w:r>
        <w:rPr>
          <w:rFonts w:ascii="Calibri" w:hAnsi="Calibri"/>
          <w:b/>
          <w:color w:val="0F172A"/>
          <w:sz w:val="30"/>
        </w:rPr>
        <w:t>3. Machine Learning Training Pipeline</w:t>
      </w:r>
    </w:p>
    <w:p>
      <w:r>
        <w:t>A rigorous, reproducible machine learning pipeline was constructed in src/train_model.py. To ensure data hygiene and patient privacy, a 2,500-sample synthetic dataset was generated with a fixed seed (random_state=42). A stratified 80/20 train/test split was executed, guaranteeing that test samples were never exposed during preprocessing.</w:t>
      </w:r>
    </w:p>
    <w:p>
      <w:r>
        <w:t>• Preprocessing: Numeric features (23 columns) were processed with SimpleImputer(strategy='median') and StandardScaler. Categorical features (Sex, Smoking Status, Alcohol Frequency) were encoded using SimpleImputer(strategy='most_frequent') and OneHotEncoder(handle_unknown='ignore').</w:t>
      </w:r>
    </w:p>
    <w:p>
      <w:r>
        <w:t>• Model Comparison: A Logistic Regression baseline was compared against a Random Forest Classifier. Both were evaluated on the held-out 20% test set (N = 500).</w:t>
      </w:r>
    </w:p>
    <w:p>
      <w:pPr>
        <w:spacing w:before="200" w:after="80"/>
      </w:pPr>
      <w:r>
        <w:rPr>
          <w:rFonts w:ascii="Calibri" w:hAnsi="Calibri"/>
          <w:b/>
          <w:color w:val="009688"/>
          <w:sz w:val="24"/>
        </w:rPr>
        <w:t>Actual Test Holdout Evaluation Metrics (N = 500)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Mar>
              <w:top w:w="80" w:type="dxa"/>
              <w:bottom w:w="80" w:type="dxa"/>
              <w:left w:w="80" w:type="dxa"/>
              <w:right w:w="80" w:type="dxa"/>
            </w:tcMar>
          </w:tcPr>
          <w:p>
            <w:pPr>
              <w:jc w:val="center"/>
            </w:pPr>
            <w:r>
              <w:rPr>
                <w:b/>
                <w:color w:val="FFFFFF"/>
                <w:sz w:val="18"/>
              </w:rPr>
              <w:t>Model Candidate</w:t>
            </w:r>
          </w:p>
        </w:tc>
        <w:tc>
          <w:tcPr>
            <w:tcW w:type="dxa" w:w="1560"/>
            <w:shd w:fill="0F172A"/>
            <w:tcMar>
              <w:top w:w="80" w:type="dxa"/>
              <w:bottom w:w="80" w:type="dxa"/>
              <w:left w:w="80" w:type="dxa"/>
              <w:right w:w="80" w:type="dxa"/>
            </w:tcMar>
          </w:tcPr>
          <w:p>
            <w:pPr>
              <w:jc w:val="center"/>
            </w:pPr>
            <w:r>
              <w:rPr>
                <w:b/>
                <w:color w:val="FFFFFF"/>
                <w:sz w:val="18"/>
              </w:rPr>
              <w:t>Test Accuracy</w:t>
            </w:r>
          </w:p>
        </w:tc>
        <w:tc>
          <w:tcPr>
            <w:tcW w:type="dxa" w:w="1560"/>
            <w:shd w:fill="0F172A"/>
            <w:tcMar>
              <w:top w:w="80" w:type="dxa"/>
              <w:bottom w:w="80" w:type="dxa"/>
              <w:left w:w="80" w:type="dxa"/>
              <w:right w:w="80" w:type="dxa"/>
            </w:tcMar>
          </w:tcPr>
          <w:p>
            <w:pPr>
              <w:jc w:val="center"/>
            </w:pPr>
            <w:r>
              <w:rPr>
                <w:b/>
                <w:color w:val="FFFFFF"/>
                <w:sz w:val="18"/>
              </w:rPr>
              <w:t>F1 Score (Macro)</w:t>
            </w:r>
          </w:p>
        </w:tc>
        <w:tc>
          <w:tcPr>
            <w:tcW w:type="dxa" w:w="1560"/>
            <w:shd w:fill="0F172A"/>
            <w:tcMar>
              <w:top w:w="80" w:type="dxa"/>
              <w:bottom w:w="80" w:type="dxa"/>
              <w:left w:w="80" w:type="dxa"/>
              <w:right w:w="80" w:type="dxa"/>
            </w:tcMar>
          </w:tcPr>
          <w:p>
            <w:pPr>
              <w:jc w:val="center"/>
            </w:pPr>
            <w:r>
              <w:rPr>
                <w:b/>
                <w:color w:val="FFFFFF"/>
                <w:sz w:val="18"/>
              </w:rPr>
              <w:t>F1 Score (Weighted)</w:t>
            </w:r>
          </w:p>
        </w:tc>
        <w:tc>
          <w:tcPr>
            <w:tcW w:type="dxa" w:w="1560"/>
            <w:shd w:fill="0F172A"/>
            <w:tcMar>
              <w:top w:w="80" w:type="dxa"/>
              <w:bottom w:w="80" w:type="dxa"/>
              <w:left w:w="80" w:type="dxa"/>
              <w:right w:w="80" w:type="dxa"/>
            </w:tcMar>
          </w:tcPr>
          <w:p>
            <w:pPr>
              <w:jc w:val="center"/>
            </w:pPr>
            <w:r>
              <w:rPr>
                <w:b/>
                <w:color w:val="FFFFFF"/>
                <w:sz w:val="18"/>
              </w:rPr>
              <w:t>Precision (Macro)</w:t>
            </w:r>
          </w:p>
        </w:tc>
        <w:tc>
          <w:tcPr>
            <w:tcW w:type="dxa" w:w="1560"/>
            <w:shd w:fill="0F172A"/>
            <w:tcMar>
              <w:top w:w="80" w:type="dxa"/>
              <w:bottom w:w="80" w:type="dxa"/>
              <w:left w:w="80" w:type="dxa"/>
              <w:right w:w="80" w:type="dxa"/>
            </w:tcMar>
          </w:tcPr>
          <w:p>
            <w:pPr>
              <w:jc w:val="center"/>
            </w:pPr>
            <w:r>
              <w:rPr>
                <w:b/>
                <w:color w:val="FFFFFF"/>
                <w:sz w:val="18"/>
              </w:rPr>
              <w:t>Recall (Macro)</w:t>
            </w:r>
          </w:p>
        </w:tc>
      </w:tr>
      <w:tr>
        <w:tc>
          <w:tcPr>
            <w:tcW w:type="dxa" w:w="1560"/>
            <w:shd w:fill="E6FFFA"/>
            <w:tcMar>
              <w:top w:w="60" w:type="dxa"/>
              <w:bottom w:w="60" w:type="dxa"/>
              <w:left w:w="60" w:type="dxa"/>
              <w:right w:w="60" w:type="dxa"/>
            </w:tcMar>
          </w:tcPr>
          <w:p>
            <w:r>
              <w:rPr>
                <w:sz w:val="17"/>
              </w:rPr>
              <w:t>Logistic Regression Baseline (Selected)</w:t>
            </w:r>
          </w:p>
        </w:tc>
        <w:tc>
          <w:tcPr>
            <w:tcW w:type="dxa" w:w="1560"/>
            <w:shd w:fill="E6FFFA"/>
            <w:tcMar>
              <w:top w:w="60" w:type="dxa"/>
              <w:bottom w:w="60" w:type="dxa"/>
              <w:left w:w="60" w:type="dxa"/>
              <w:right w:w="60" w:type="dxa"/>
            </w:tcMar>
          </w:tcPr>
          <w:p>
            <w:pPr>
              <w:jc w:val="center"/>
            </w:pPr>
            <w:r>
              <w:rPr>
                <w:b/>
                <w:color w:val="009688"/>
                <w:sz w:val="17"/>
              </w:rPr>
              <w:t>81.60%</w:t>
            </w:r>
          </w:p>
        </w:tc>
        <w:tc>
          <w:tcPr>
            <w:tcW w:type="dxa" w:w="1560"/>
            <w:shd w:fill="E6FFFA"/>
            <w:tcMar>
              <w:top w:w="60" w:type="dxa"/>
              <w:bottom w:w="60" w:type="dxa"/>
              <w:left w:w="60" w:type="dxa"/>
              <w:right w:w="60" w:type="dxa"/>
            </w:tcMar>
          </w:tcPr>
          <w:p>
            <w:pPr>
              <w:jc w:val="center"/>
            </w:pPr>
            <w:r>
              <w:rPr>
                <w:b/>
                <w:color w:val="009688"/>
                <w:sz w:val="17"/>
              </w:rPr>
              <w:t>0.8131</w:t>
            </w:r>
          </w:p>
        </w:tc>
        <w:tc>
          <w:tcPr>
            <w:tcW w:type="dxa" w:w="1560"/>
            <w:shd w:fill="E6FFFA"/>
            <w:tcMar>
              <w:top w:w="60" w:type="dxa"/>
              <w:bottom w:w="60" w:type="dxa"/>
              <w:left w:w="60" w:type="dxa"/>
              <w:right w:w="60" w:type="dxa"/>
            </w:tcMar>
          </w:tcPr>
          <w:p>
            <w:pPr>
              <w:jc w:val="center"/>
            </w:pPr>
            <w:r>
              <w:rPr>
                <w:sz w:val="17"/>
              </w:rPr>
              <w:t>0.8155</w:t>
            </w:r>
          </w:p>
        </w:tc>
        <w:tc>
          <w:tcPr>
            <w:tcW w:type="dxa" w:w="1560"/>
            <w:shd w:fill="E6FFFA"/>
            <w:tcMar>
              <w:top w:w="60" w:type="dxa"/>
              <w:bottom w:w="60" w:type="dxa"/>
              <w:left w:w="60" w:type="dxa"/>
              <w:right w:w="60" w:type="dxa"/>
            </w:tcMar>
          </w:tcPr>
          <w:p>
            <w:pPr>
              <w:jc w:val="center"/>
            </w:pPr>
            <w:r>
              <w:rPr>
                <w:sz w:val="17"/>
              </w:rPr>
              <w:t>83.17%</w:t>
            </w:r>
          </w:p>
        </w:tc>
        <w:tc>
          <w:tcPr>
            <w:tcW w:type="dxa" w:w="1560"/>
            <w:shd w:fill="E6FFFA"/>
            <w:tcMar>
              <w:top w:w="60" w:type="dxa"/>
              <w:bottom w:w="60" w:type="dxa"/>
              <w:left w:w="60" w:type="dxa"/>
              <w:right w:w="60" w:type="dxa"/>
            </w:tcMar>
          </w:tcPr>
          <w:p>
            <w:pPr>
              <w:jc w:val="center"/>
            </w:pPr>
            <w:r>
              <w:rPr>
                <w:sz w:val="17"/>
              </w:rPr>
              <w:t>79.92%</w:t>
            </w:r>
          </w:p>
        </w:tc>
      </w:tr>
      <w:tr>
        <w:tc>
          <w:tcPr>
            <w:tcW w:type="dxa" w:w="1560"/>
            <w:shd w:fill="FFFFFF"/>
            <w:tcMar>
              <w:top w:w="60" w:type="dxa"/>
              <w:bottom w:w="60" w:type="dxa"/>
              <w:left w:w="60" w:type="dxa"/>
              <w:right w:w="60" w:type="dxa"/>
            </w:tcMar>
          </w:tcPr>
          <w:p>
            <w:r>
              <w:rPr>
                <w:sz w:val="17"/>
              </w:rPr>
              <w:t>Random Forest Classifier</w:t>
            </w:r>
          </w:p>
        </w:tc>
        <w:tc>
          <w:tcPr>
            <w:tcW w:type="dxa" w:w="1560"/>
            <w:shd w:fill="FFFFFF"/>
            <w:tcMar>
              <w:top w:w="60" w:type="dxa"/>
              <w:bottom w:w="60" w:type="dxa"/>
              <w:left w:w="60" w:type="dxa"/>
              <w:right w:w="60" w:type="dxa"/>
            </w:tcMar>
          </w:tcPr>
          <w:p>
            <w:pPr>
              <w:jc w:val="center"/>
            </w:pPr>
            <w:r>
              <w:rPr>
                <w:sz w:val="17"/>
              </w:rPr>
              <w:t>77.20%</w:t>
            </w:r>
          </w:p>
        </w:tc>
        <w:tc>
          <w:tcPr>
            <w:tcW w:type="dxa" w:w="1560"/>
            <w:shd w:fill="FFFFFF"/>
            <w:tcMar>
              <w:top w:w="60" w:type="dxa"/>
              <w:bottom w:w="60" w:type="dxa"/>
              <w:left w:w="60" w:type="dxa"/>
              <w:right w:w="60" w:type="dxa"/>
            </w:tcMar>
          </w:tcPr>
          <w:p>
            <w:pPr>
              <w:jc w:val="center"/>
            </w:pPr>
            <w:r>
              <w:rPr>
                <w:sz w:val="17"/>
              </w:rPr>
              <w:t>0.7082</w:t>
            </w:r>
          </w:p>
        </w:tc>
        <w:tc>
          <w:tcPr>
            <w:tcW w:type="dxa" w:w="1560"/>
            <w:shd w:fill="FFFFFF"/>
            <w:tcMar>
              <w:top w:w="60" w:type="dxa"/>
              <w:bottom w:w="60" w:type="dxa"/>
              <w:left w:w="60" w:type="dxa"/>
              <w:right w:w="60" w:type="dxa"/>
            </w:tcMar>
          </w:tcPr>
          <w:p>
            <w:pPr>
              <w:jc w:val="center"/>
            </w:pPr>
            <w:r>
              <w:rPr>
                <w:sz w:val="17"/>
              </w:rPr>
              <w:t>0.7645</w:t>
            </w:r>
          </w:p>
        </w:tc>
        <w:tc>
          <w:tcPr>
            <w:tcW w:type="dxa" w:w="1560"/>
            <w:shd w:fill="FFFFFF"/>
            <w:tcMar>
              <w:top w:w="60" w:type="dxa"/>
              <w:bottom w:w="60" w:type="dxa"/>
              <w:left w:w="60" w:type="dxa"/>
              <w:right w:w="60" w:type="dxa"/>
            </w:tcMar>
          </w:tcPr>
          <w:p>
            <w:pPr>
              <w:jc w:val="center"/>
            </w:pPr>
            <w:r>
              <w:rPr>
                <w:sz w:val="17"/>
              </w:rPr>
              <w:t>85.25%</w:t>
            </w:r>
          </w:p>
        </w:tc>
        <w:tc>
          <w:tcPr>
            <w:tcW w:type="dxa" w:w="1560"/>
            <w:shd w:fill="FFFFFF"/>
            <w:tcMar>
              <w:top w:w="60" w:type="dxa"/>
              <w:bottom w:w="60" w:type="dxa"/>
              <w:left w:w="60" w:type="dxa"/>
              <w:right w:w="60" w:type="dxa"/>
            </w:tcMar>
          </w:tcPr>
          <w:p>
            <w:pPr>
              <w:jc w:val="center"/>
            </w:pPr>
            <w:r>
              <w:rPr>
                <w:sz w:val="17"/>
              </w:rPr>
              <w:t>66.37%</w:t>
            </w:r>
          </w:p>
        </w:tc>
      </w:tr>
    </w:tbl>
    <w:p>
      <w:pPr>
        <w:spacing w:after="160"/>
      </w:pPr>
    </w:p>
    <w:p>
      <w:pPr>
        <w:spacing w:before="280" w:after="120"/>
      </w:pPr>
      <w:r>
        <w:rPr>
          <w:rFonts w:ascii="Calibri" w:hAnsi="Calibri"/>
          <w:b/>
          <w:color w:val="0F172A"/>
          <w:sz w:val="30"/>
        </w:rPr>
        <w:t>4. Clinical Recommendation Engine &amp; South Indian Nutrition</w:t>
      </w:r>
    </w:p>
    <w:p>
      <w:r>
        <w:t>The recommendation engine (src/recommendation_engine.py) applies clinical consensus thresholds without relying on third-party LLMs or fabricated macros:</w:t>
      </w:r>
    </w:p>
    <w:p>
      <w:r>
        <w:t>1. Blood Pressure &amp; Sodium Restriction: Adheres to 2017 ACC/AHA guidelines. For elevated pressures, it recommends reducing dietary sodium (&lt; 2,000 mg/day) and seasoning with lemon, cumin, curry leaves, and coriander. It explicitly avoids unilaterally recommending high-potassium salt substitutes to protect renal safety.</w:t>
      </w:r>
    </w:p>
    <w:p>
      <w:r>
        <w:t>2. Glycemic Management: Adheres to ADA 2024 Standards of Care. Evaluates Fasting, Postprandial, Random glucose, and HbA1c individually without substituting markers. Recommends low-glycemic-index whole grains (finger millet/ragi, foxtail millet, hand-pounded red rice) paired with proteinaceous legumes.</w:t>
      </w:r>
    </w:p>
    <w:p>
      <w:r>
        <w:t>3. Lipid Management: Follows NCEP ATP III guidelines. Distinguishes between optimal, borderline, and high fractions for total cholesterol, LDL, HDL, and triglycerides. Focuses on soluble fiber (methi seeds, legumes, oats) and heart-smart unsaturated cooking fats.</w:t>
      </w:r>
    </w:p>
    <w:p>
      <w:r>
        <w:t>4. South Indian Cultural Meal Planner: Respects four dietary regimes (Vegetarian, Vegan, Eggetarian, Non-Vegetarian) and strictly filters out declared food allergens (peanuts, tree nuts, gluten, dairy/lactose, soy, shellfish, eggs). Descriptions are purely qualitative (portion mindfulness and nutritional mechanism), avoiding fabricated calorie numbers.</w:t>
      </w:r>
    </w:p>
    <w:p>
      <w:pPr>
        <w:spacing w:before="280" w:after="120"/>
      </w:pPr>
      <w:r>
        <w:rPr>
          <w:rFonts w:ascii="Calibri" w:hAnsi="Calibri"/>
          <w:b/>
          <w:color w:val="0F172A"/>
          <w:sz w:val="30"/>
        </w:rPr>
        <w:t>5. Overview of Application Pages</w:t>
      </w:r>
    </w:p>
    <w:p>
      <w:pPr>
        <w:spacing w:before="40" w:after="40"/>
      </w:pPr>
      <w:r>
        <w:rPr>
          <w:b/>
          <w:color w:val="1E293B"/>
          <w:sz w:val="19"/>
        </w:rPr>
        <w:t xml:space="preserve">• 1. Home Page: </w:t>
      </w:r>
      <w:r>
        <w:rPr>
          <w:color w:val="475569"/>
          <w:sz w:val="19"/>
        </w:rPr>
        <w:t>Striking gradient hero, call-to-action buttons, quick-load demo profile presets, and an overview of all evaluated biometric pillars.</w:t>
      </w:r>
    </w:p>
    <w:p>
      <w:pPr>
        <w:spacing w:before="40" w:after="40"/>
      </w:pPr>
      <w:r>
        <w:rPr>
          <w:b/>
          <w:color w:val="1E293B"/>
          <w:sz w:val="19"/>
        </w:rPr>
        <w:t xml:space="preserve">• 2. Health Assessment: </w:t>
      </w:r>
      <w:r>
        <w:rPr>
          <w:color w:val="475569"/>
          <w:sz w:val="19"/>
        </w:rPr>
        <w:t>Tabbed form with live auto-calculating BMI, biological range validation, timing context selectors for blood glucose, and dietary preference options.</w:t>
      </w:r>
    </w:p>
    <w:p>
      <w:pPr>
        <w:spacing w:before="40" w:after="40"/>
      </w:pPr>
      <w:r>
        <w:rPr>
          <w:b/>
          <w:color w:val="1E293B"/>
          <w:sz w:val="19"/>
        </w:rPr>
        <w:t xml:space="preserve">• 3. Prediction Results: </w:t>
      </w:r>
      <w:r>
        <w:rPr>
          <w:color w:val="475569"/>
          <w:sz w:val="19"/>
        </w:rPr>
        <w:t>Emergency alert banner for acute readings, Plotly risk gauge, 5-pillar radar profile chart, metric cards with semantic status badges, and factor breakdowns.</w:t>
      </w:r>
    </w:p>
    <w:p>
      <w:pPr>
        <w:spacing w:before="40" w:after="40"/>
      </w:pPr>
      <w:r>
        <w:rPr>
          <w:b/>
          <w:color w:val="1E293B"/>
          <w:sz w:val="19"/>
        </w:rPr>
        <w:t xml:space="preserve">• 4. Diet Planner: </w:t>
      </w:r>
      <w:r>
        <w:rPr>
          <w:color w:val="475569"/>
          <w:sz w:val="19"/>
        </w:rPr>
        <w:t>Customizable daily meal plan (Breakfast, Lunch, Dinner, Snack) with regenerate button, local Indian grocery budget guidance, and cooking swaps.</w:t>
      </w:r>
    </w:p>
    <w:p>
      <w:pPr>
        <w:spacing w:before="40" w:after="40"/>
      </w:pPr>
      <w:r>
        <w:rPr>
          <w:b/>
          <w:color w:val="1E293B"/>
          <w:sz w:val="19"/>
        </w:rPr>
        <w:t xml:space="preserve">• 5. Model Information: </w:t>
      </w:r>
      <w:r>
        <w:rPr>
          <w:color w:val="475569"/>
          <w:sz w:val="19"/>
        </w:rPr>
        <w:t>Full transparency model card: synthetic data generation rubric, EDA findings, interactive confusion matrix heatmap, and documented limitations.</w:t>
      </w:r>
    </w:p>
    <w:p>
      <w:pPr>
        <w:spacing w:before="40" w:after="40"/>
      </w:pPr>
      <w:r>
        <w:rPr>
          <w:b/>
          <w:color w:val="1E293B"/>
          <w:sz w:val="19"/>
        </w:rPr>
        <w:t xml:space="preserve">• 6. About &amp; Disclaimer: </w:t>
      </w:r>
      <w:r>
        <w:rPr>
          <w:color w:val="475569"/>
          <w:sz w:val="19"/>
        </w:rPr>
        <w:t>Prominent medical disclaimer, peer-reviewed clinical citations (WHO 2004, ACC/AHA 2017, NCEP ATP III, ADA 2024, ICMR-NIN), and technical architecture.</w:t>
      </w:r>
    </w:p>
    <w:p>
      <w:pPr>
        <w:spacing w:before="280" w:after="120"/>
      </w:pPr>
      <w:r>
        <w:rPr>
          <w:rFonts w:ascii="Calibri" w:hAnsi="Calibri"/>
          <w:b/>
          <w:color w:val="0F172A"/>
          <w:sz w:val="30"/>
        </w:rPr>
        <w:t>6. Automated Verification &amp; Test Coverage</w:t>
      </w:r>
    </w:p>
    <w:p>
      <w:r>
        <w:t>The codebase was verified with a comprehensive automated test suite (pytest -v) covering 19 distinct unit tests across validation, clinical rules, and model predictions:</w:t>
      </w:r>
    </w:p>
    <w:p>
      <w:r>
        <w:t>• tests/test_validation.py (7 tests): Plausible range checks, missing optional handling, physiological consistency (systolic &gt; diastolic), and emergency detection.</w:t>
      </w:r>
    </w:p>
    <w:p>
      <w:r>
        <w:t>• tests/test_recommendations.py (8 tests): Threshold evaluation (BMI, BP, Lipids, Glucose), sodium restriction, vegan/vegetarian safety, and allergy exclusion.</w:t>
      </w:r>
    </w:p>
    <w:p>
      <w:r>
        <w:t>• tests/test_prediction.py (4 tests): Model initialization, output shape, probability sum checks, and prediction with missing optional fields.</w:t>
      </w:r>
    </w:p>
    <w:p>
      <w:r>
        <w:t>Result: All 19 tests passed successfully in 5.0 seconds.</w:t>
      </w:r>
    </w:p>
    <w:p>
      <w:pPr>
        <w:spacing w:before="280" w:after="120"/>
      </w:pPr>
      <w:r>
        <w:rPr>
          <w:rFonts w:ascii="Calibri" w:hAnsi="Calibri"/>
          <w:b/>
          <w:color w:val="0F172A"/>
          <w:sz w:val="30"/>
        </w:rPr>
        <w:t>7. Local Setup &amp; Execution Commands</w:t>
      </w:r>
    </w:p>
    <w:tbl>
      <w:tblPr>
        <w:tblW w:type="auto" w:w="0"/>
        <w:jc w:val="center"/>
        <w:tblLook w:firstColumn="1" w:firstRow="1" w:lastColumn="0" w:lastRow="0" w:noHBand="0" w:noVBand="1" w:val="04A0"/>
      </w:tblPr>
      <w:tblGrid>
        <w:gridCol w:w="4680"/>
        <w:gridCol w:w="4680"/>
      </w:tblGrid>
      <w:tr>
        <w:tc>
          <w:tcPr>
            <w:tcW w:type="dxa" w:w="3600"/>
            <w:shd w:fill="F8FAFC"/>
            <w:tcMar>
              <w:top w:w="50" w:type="dxa"/>
              <w:bottom w:w="50" w:type="dxa"/>
              <w:left w:w="80" w:type="dxa"/>
              <w:right w:w="80" w:type="dxa"/>
            </w:tcMar>
          </w:tcPr>
          <w:p>
            <w:r>
              <w:rPr>
                <w:b/>
                <w:color w:val="1E293B"/>
                <w:sz w:val="18"/>
              </w:rPr>
              <w:t>Activate Virtual Environment</w:t>
            </w:r>
          </w:p>
        </w:tc>
        <w:tc>
          <w:tcPr>
            <w:tcW w:type="dxa" w:w="5760"/>
            <w:shd w:fill="0F172A"/>
            <w:tcMar>
              <w:top w:w="50" w:type="dxa"/>
              <w:bottom w:w="50" w:type="dxa"/>
              <w:left w:w="80" w:type="dxa"/>
              <w:right w:w="80" w:type="dxa"/>
            </w:tcMar>
          </w:tcPr>
          <w:p>
            <w:r>
              <w:rPr>
                <w:rFonts w:ascii="Consolas" w:hAnsi="Consolas"/>
                <w:color w:val="00D2BA"/>
                <w:sz w:val="18"/>
              </w:rPr>
              <w:t>.\.venv\Scripts\Activate.ps1</w:t>
            </w:r>
          </w:p>
        </w:tc>
      </w:tr>
      <w:tr>
        <w:tc>
          <w:tcPr>
            <w:tcW w:type="dxa" w:w="3600"/>
            <w:shd w:fill="F8FAFC"/>
            <w:tcMar>
              <w:top w:w="50" w:type="dxa"/>
              <w:bottom w:w="50" w:type="dxa"/>
              <w:left w:w="80" w:type="dxa"/>
              <w:right w:w="80" w:type="dxa"/>
            </w:tcMar>
          </w:tcPr>
          <w:p>
            <w:r>
              <w:rPr>
                <w:b/>
                <w:color w:val="1E293B"/>
                <w:sz w:val="18"/>
              </w:rPr>
              <w:t>Run Automated Tests</w:t>
            </w:r>
          </w:p>
        </w:tc>
        <w:tc>
          <w:tcPr>
            <w:tcW w:type="dxa" w:w="5760"/>
            <w:shd w:fill="0F172A"/>
            <w:tcMar>
              <w:top w:w="50" w:type="dxa"/>
              <w:bottom w:w="50" w:type="dxa"/>
              <w:left w:w="80" w:type="dxa"/>
              <w:right w:w="80" w:type="dxa"/>
            </w:tcMar>
          </w:tcPr>
          <w:p>
            <w:r>
              <w:rPr>
                <w:rFonts w:ascii="Consolas" w:hAnsi="Consolas"/>
                <w:color w:val="00D2BA"/>
                <w:sz w:val="18"/>
              </w:rPr>
              <w:t>pytest -v</w:t>
            </w:r>
          </w:p>
        </w:tc>
      </w:tr>
      <w:tr>
        <w:tc>
          <w:tcPr>
            <w:tcW w:type="dxa" w:w="3600"/>
            <w:shd w:fill="F8FAFC"/>
            <w:tcMar>
              <w:top w:w="50" w:type="dxa"/>
              <w:bottom w:w="50" w:type="dxa"/>
              <w:left w:w="80" w:type="dxa"/>
              <w:right w:w="80" w:type="dxa"/>
            </w:tcMar>
          </w:tcPr>
          <w:p>
            <w:r>
              <w:rPr>
                <w:b/>
                <w:color w:val="1E293B"/>
                <w:sz w:val="18"/>
              </w:rPr>
              <w:t>Launch Streamlit App</w:t>
            </w:r>
          </w:p>
        </w:tc>
        <w:tc>
          <w:tcPr>
            <w:tcW w:type="dxa" w:w="5760"/>
            <w:shd w:fill="0F172A"/>
            <w:tcMar>
              <w:top w:w="50" w:type="dxa"/>
              <w:bottom w:w="50" w:type="dxa"/>
              <w:left w:w="80" w:type="dxa"/>
              <w:right w:w="80" w:type="dxa"/>
            </w:tcMar>
          </w:tcPr>
          <w:p>
            <w:r>
              <w:rPr>
                <w:rFonts w:ascii="Consolas" w:hAnsi="Consolas"/>
                <w:color w:val="00D2BA"/>
                <w:sz w:val="18"/>
              </w:rPr>
              <w:t>streamlit run app.py</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