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rFonts w:ascii="Arial" w:hAnsi="Arial"/>
          <w:b/>
          <w:color w:val="0E7490"/>
          <w:sz w:val="17"/>
        </w:rPr>
        <w:t>FLARRE AI INNOVATION CHALLENGE 2026 | TECHNICAL SUBMISSION</w:t>
      </w:r>
    </w:p>
    <w:p>
      <w:pPr>
        <w:spacing w:before="120" w:after="40"/>
        <w:jc w:val="center"/>
      </w:pPr>
      <w:r>
        <w:rPr>
          <w:rFonts w:ascii="Arial" w:hAnsi="Arial"/>
          <w:b/>
          <w:color w:val="0F172A"/>
          <w:sz w:val="40"/>
        </w:rPr>
        <w:t>COVERAGE TRUTH LAYER</w:t>
        <w:br/>
      </w:r>
      <w:r>
        <w:rPr>
          <w:rFonts w:ascii="Arial" w:hAnsi="Arial"/>
          <w:i/>
          <w:color w:val="475569"/>
          <w:sz w:val="22"/>
        </w:rPr>
        <w:t>Catch Coverage Contradictions Before They Become Denied Claims</w:t>
        <w:br/>
      </w:r>
    </w:p>
    <w:p>
      <w:pPr>
        <w:spacing w:after="240"/>
        <w:jc w:val="center"/>
      </w:pPr>
      <w:r>
        <w:rPr>
          <w:rFonts w:ascii="Arial" w:hAnsi="Arial"/>
          <w:b/>
          <w:sz w:val="22"/>
        </w:rPr>
        <w:t>Mekala Abhilash</w:t>
        <w:br/>
      </w:r>
      <w:r>
        <w:rPr>
          <w:rFonts w:ascii="Arial" w:hAnsi="Arial"/>
          <w:color w:val="64748B"/>
          <w:sz w:val="19"/>
        </w:rPr>
        <w:t>Chaitanya Bharathi Institute of Technology (CBIT), Hyderabad</w:t>
        <w:br/>
      </w:r>
      <w:r>
        <w:rPr>
          <w:rFonts w:ascii="Arial" w:hAnsi="Arial"/>
          <w:b/>
          <w:color w:val="0E7490"/>
          <w:sz w:val="19"/>
        </w:rPr>
        <w:t>Live Prototype: https://coverage-truth-layer.vercel.app/</w:t>
      </w:r>
    </w:p>
    <w:p>
      <w:pPr>
        <w:spacing w:after="240" w:line="288" w:lineRule="auto"/>
        <w:ind w:left="288" w:right="288"/>
        <w:jc w:val="both"/>
      </w:pPr>
      <w:r>
        <w:rPr>
          <w:rFonts w:ascii="Arial" w:hAnsi="Arial"/>
          <w:b/>
          <w:sz w:val="20"/>
        </w:rPr>
        <w:t xml:space="preserve">Abstract — </w:t>
      </w:r>
      <w:r>
        <w:rPr>
          <w:rFonts w:ascii="Arial" w:hAnsi="Arial"/>
          <w:color w:val="334155"/>
          <w:sz w:val="19"/>
        </w:rPr>
        <w:t>In commercial property and casualty insurance, legal agreements are scattered across preliminary broker quotes, issued master policies, and post-binding endorsement riders. Critical coverage differences—such as a broker quote promising a $1,000,000 blanket water damage limit while a subsequently attached endorsement caps it at $50,000—frequently slip through manual policy checking. Coverage Truth Layer (CTL) is an AI-powered document intelligence and evidence-traceability system built for the Flarre AI Innovation Challenge 2026. Built on the governing principle of 'Pipeline first. Agent when needed. Human judgment for the final decision,' CTL couples deterministic numerical validation with semantic language evaluation and a bounded chronology agent. The system anchors every flagged contradiction to character-level source citations and dispatches actionable findings to a human-in-the-loop review console with persistent audit logging.</w:t>
      </w:r>
    </w:p>
    <w:p>
      <w:pPr>
        <w:pStyle w:val="Heading1"/>
        <w:keepNext/>
        <w:spacing w:before="280" w:after="80"/>
      </w:pPr>
      <w:r>
        <w:rPr>
          <w:rFonts w:ascii="Arial" w:hAnsi="Arial"/>
          <w:b/>
          <w:color w:val="0E7490"/>
          <w:sz w:val="30"/>
        </w:rPr>
        <w:t>1. Introduction</w:t>
      </w:r>
    </w:p>
    <w:p>
      <w:pPr>
        <w:spacing w:line="300" w:lineRule="auto" w:after="120"/>
        <w:jc w:val="both"/>
      </w:pPr>
      <w:r>
        <w:rPr>
          <w:rFonts w:ascii="Arial" w:hAnsi="Arial"/>
          <w:color w:val="1E293B"/>
          <w:sz w:val="21"/>
        </w:rPr>
        <w:t>Commercial insurance represents a multi-billion-dollar bedrock of enterprise commerce. Yet, unlike retail personal lines, a commercial placement is never a single unified document. Instead, it is negotiated across a multi-stage lifecycle:</w:t>
      </w:r>
    </w:p>
    <w:p>
      <w:pPr>
        <w:pStyle w:val="ListBullet"/>
        <w:spacing w:line="288" w:lineRule="auto" w:after="60"/>
        <w:jc w:val="both"/>
      </w:pPr>
      <w:r>
        <w:rPr>
          <w:rFonts w:ascii="Arial" w:hAnsi="Arial"/>
          <w:b/>
          <w:color w:val="0F172A"/>
          <w:sz w:val="20"/>
        </w:rPr>
        <w:t xml:space="preserve">Promised (Pre-Binding Scope): </w:t>
      </w:r>
      <w:r>
        <w:rPr>
          <w:rFonts w:ascii="Arial" w:hAnsi="Arial"/>
          <w:color w:val="1E293B"/>
          <w:sz w:val="20"/>
        </w:rPr>
        <w:t>Broker quotes, proposal summaries, and email indications stating promised limits and deductibles (e.g., $1,000,000 blanket water and sewer backup).</w:t>
      </w:r>
    </w:p>
    <w:p>
      <w:pPr>
        <w:pStyle w:val="ListBullet"/>
        <w:spacing w:line="288" w:lineRule="auto" w:after="60"/>
        <w:jc w:val="both"/>
      </w:pPr>
      <w:r>
        <w:rPr>
          <w:rFonts w:ascii="Arial" w:hAnsi="Arial"/>
          <w:b/>
          <w:color w:val="0F172A"/>
          <w:sz w:val="20"/>
        </w:rPr>
        <w:t xml:space="preserve">Documented (Inception Scope): </w:t>
      </w:r>
      <w:r>
        <w:rPr>
          <w:rFonts w:ascii="Arial" w:hAnsi="Arial"/>
          <w:color w:val="1E293B"/>
          <w:sz w:val="20"/>
        </w:rPr>
        <w:t>Master policy jackets (e.g., ISO Form CP 00 10) and post-issuance restrictive endorsements (e.g., END-04-WTR) attached weeks later by carrier systems.</w:t>
      </w:r>
    </w:p>
    <w:p>
      <w:pPr>
        <w:pStyle w:val="ListBullet"/>
        <w:spacing w:line="288" w:lineRule="auto" w:after="60"/>
        <w:jc w:val="both"/>
      </w:pPr>
      <w:r>
        <w:rPr>
          <w:rFonts w:ascii="Arial" w:hAnsi="Arial"/>
          <w:b/>
          <w:color w:val="0F172A"/>
          <w:sz w:val="20"/>
        </w:rPr>
        <w:t xml:space="preserve">Paid (Post-Loss Claims Scope): </w:t>
      </w:r>
      <w:r>
        <w:rPr>
          <w:rFonts w:ascii="Arial" w:hAnsi="Arial"/>
          <w:color w:val="1E293B"/>
          <w:sz w:val="20"/>
        </w:rPr>
        <w:t>First Notice of Loss (FNOL) claims processing and settlement dispute resolution (designated as future roadmap extension).</w:t>
      </w:r>
    </w:p>
    <w:p>
      <w:pPr>
        <w:spacing w:line="300" w:lineRule="auto" w:after="120"/>
        <w:jc w:val="both"/>
      </w:pPr>
      <w:r>
        <w:rPr>
          <w:rFonts w:ascii="Arial" w:hAnsi="Arial"/>
          <w:b/>
          <w:color w:val="0F172A"/>
          <w:sz w:val="21"/>
        </w:rPr>
        <w:t xml:space="preserve">The Problem: </w:t>
      </w:r>
      <w:r>
        <w:rPr>
          <w:rFonts w:ascii="Arial" w:hAnsi="Arial"/>
          <w:color w:val="1E293B"/>
          <w:sz w:val="21"/>
        </w:rPr>
        <w:t>When underwriters, wholesale brokers, and corporate risk managers check contracts manually, important coverage contradictions remain latent. During a catastrophic loss, claims adjusters deny payment based on obscure endorsement exclusions, triggering devastating financial losses for the insured and severe Errors &amp; Omissions (E&amp;O) lawsuits for brokers.</w:t>
      </w:r>
    </w:p>
    <w:p>
      <w:pPr>
        <w:spacing w:line="300" w:lineRule="auto" w:after="120"/>
        <w:jc w:val="both"/>
      </w:pPr>
      <w:r>
        <w:rPr>
          <w:rFonts w:ascii="Arial" w:hAnsi="Arial"/>
          <w:b/>
          <w:color w:val="0F172A"/>
          <w:sz w:val="21"/>
        </w:rPr>
        <w:t xml:space="preserve">The Solution &amp; Objectives: </w:t>
      </w:r>
      <w:r>
        <w:rPr>
          <w:rFonts w:ascii="Arial" w:hAnsi="Arial"/>
          <w:color w:val="1E293B"/>
          <w:sz w:val="21"/>
        </w:rPr>
        <w:t>Coverage Truth Layer introduces an auditable reconciliation layer that:</w:t>
      </w:r>
    </w:p>
    <w:p>
      <w:pPr>
        <w:pStyle w:val="ListBullet"/>
        <w:spacing w:line="288" w:lineRule="auto" w:after="60"/>
        <w:jc w:val="both"/>
      </w:pPr>
      <w:r>
        <w:rPr>
          <w:rFonts w:ascii="Arial" w:hAnsi="Arial"/>
          <w:b/>
          <w:color w:val="0F172A"/>
          <w:sz w:val="20"/>
        </w:rPr>
        <w:t xml:space="preserve">1. Normalizes Contract Terms: </w:t>
      </w:r>
      <w:r>
        <w:rPr>
          <w:rFonts w:ascii="Arial" w:hAnsi="Arial"/>
          <w:color w:val="1E293B"/>
          <w:sz w:val="20"/>
        </w:rPr>
        <w:t>Extracts structured coverage limits, deductibles, perils, and territory scopes.</w:t>
      </w:r>
    </w:p>
    <w:p>
      <w:pPr>
        <w:pStyle w:val="ListBullet"/>
        <w:spacing w:line="288" w:lineRule="auto" w:after="60"/>
        <w:jc w:val="both"/>
      </w:pPr>
      <w:r>
        <w:rPr>
          <w:rFonts w:ascii="Arial" w:hAnsi="Arial"/>
          <w:b/>
          <w:color w:val="0F172A"/>
          <w:sz w:val="20"/>
        </w:rPr>
        <w:t xml:space="preserve">2. Reconciles Promised vs. Documented: </w:t>
      </w:r>
      <w:r>
        <w:rPr>
          <w:rFonts w:ascii="Arial" w:hAnsi="Arial"/>
          <w:color w:val="1E293B"/>
          <w:sz w:val="20"/>
        </w:rPr>
        <w:t>Compares broker promises against issued policy forms and riders.</w:t>
      </w:r>
    </w:p>
    <w:p>
      <w:pPr>
        <w:pStyle w:val="ListBullet"/>
        <w:spacing w:line="288" w:lineRule="auto" w:after="60"/>
        <w:jc w:val="both"/>
      </w:pPr>
      <w:r>
        <w:rPr>
          <w:rFonts w:ascii="Arial" w:hAnsi="Arial"/>
          <w:b/>
          <w:color w:val="0F172A"/>
          <w:sz w:val="20"/>
        </w:rPr>
        <w:t xml:space="preserve">3. Identifies Contradictions: </w:t>
      </w:r>
      <w:r>
        <w:rPr>
          <w:rFonts w:ascii="Arial" w:hAnsi="Arial"/>
          <w:color w:val="1E293B"/>
          <w:sz w:val="20"/>
        </w:rPr>
        <w:t>Applies deterministic checks for numbers and semantic analysis for legal conditions.</w:t>
      </w:r>
    </w:p>
    <w:p>
      <w:pPr>
        <w:pStyle w:val="ListBullet"/>
        <w:spacing w:line="288" w:lineRule="auto" w:after="60"/>
        <w:jc w:val="both"/>
      </w:pPr>
      <w:r>
        <w:rPr>
          <w:rFonts w:ascii="Arial" w:hAnsi="Arial"/>
          <w:b/>
          <w:color w:val="0F172A"/>
          <w:sz w:val="20"/>
        </w:rPr>
        <w:t xml:space="preserve">4. Anchors 100% Provenance: </w:t>
      </w:r>
      <w:r>
        <w:rPr>
          <w:rFonts w:ascii="Arial" w:hAnsi="Arial"/>
          <w:color w:val="1E293B"/>
          <w:sz w:val="20"/>
        </w:rPr>
        <w:t>Pins every finding to exact document page, section, and cryptographic hash.</w:t>
      </w:r>
    </w:p>
    <w:p>
      <w:pPr>
        <w:pStyle w:val="ListBullet"/>
        <w:spacing w:line="288" w:lineRule="auto" w:after="60"/>
        <w:jc w:val="both"/>
      </w:pPr>
      <w:r>
        <w:rPr>
          <w:rFonts w:ascii="Arial" w:hAnsi="Arial"/>
          <w:b/>
          <w:color w:val="0F172A"/>
          <w:sz w:val="20"/>
        </w:rPr>
        <w:t xml:space="preserve">5. Bounded Agent Escalation: </w:t>
      </w:r>
      <w:r>
        <w:rPr>
          <w:rFonts w:ascii="Arial" w:hAnsi="Arial"/>
          <w:color w:val="1E293B"/>
          <w:sz w:val="20"/>
        </w:rPr>
        <w:t>Launches an autonomous agent strictly when chronological or precedence conflicts arise.</w:t>
      </w:r>
    </w:p>
    <w:p>
      <w:pPr>
        <w:pStyle w:val="ListBullet"/>
        <w:spacing w:line="288" w:lineRule="auto" w:after="60"/>
        <w:jc w:val="both"/>
      </w:pPr>
      <w:r>
        <w:rPr>
          <w:rFonts w:ascii="Arial" w:hAnsi="Arial"/>
          <w:b/>
          <w:color w:val="0F172A"/>
          <w:sz w:val="20"/>
        </w:rPr>
        <w:t xml:space="preserve">6. Human-in-the-Loop Governance: </w:t>
      </w:r>
      <w:r>
        <w:rPr>
          <w:rFonts w:ascii="Arial" w:hAnsi="Arial"/>
          <w:color w:val="1E293B"/>
          <w:sz w:val="20"/>
        </w:rPr>
        <w:t>Maintains an interactive underwriter review console backed by an immutable audit trail.</w:t>
      </w:r>
    </w:p>
    <w:p>
      <w:pPr>
        <w:pStyle w:val="Heading1"/>
        <w:keepNext/>
        <w:spacing w:before="280" w:after="80"/>
      </w:pPr>
      <w:r>
        <w:rPr>
          <w:rFonts w:ascii="Arial" w:hAnsi="Arial"/>
          <w:b/>
          <w:color w:val="0E7490"/>
          <w:sz w:val="30"/>
        </w:rPr>
        <w:t>2. Design of the Proposed System</w:t>
      </w:r>
    </w:p>
    <w:p>
      <w:pPr>
        <w:spacing w:line="300" w:lineRule="auto" w:after="120"/>
        <w:jc w:val="both"/>
      </w:pPr>
      <w:r>
        <w:rPr>
          <w:rFonts w:ascii="Arial" w:hAnsi="Arial"/>
          <w:color w:val="1E293B"/>
          <w:sz w:val="21"/>
        </w:rPr>
        <w:t>Coverage Truth Layer is structured around a hybrid architecture balancing deterministic reliability with AI reasoning. Figure 1 illustrates the complete system architecture.</w:t>
      </w:r>
    </w:p>
    <w:p>
      <w:pPr>
        <w:spacing w:before="160" w:after="4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fig3_1_system_architecture.png"/>
                    <pic:cNvPicPr/>
                  </pic:nvPicPr>
                  <pic:blipFill>
                    <a:blip r:embed="rId9"/>
                    <a:stretch>
                      <a:fillRect/>
                    </a:stretch>
                  </pic:blipFill>
                  <pic:spPr>
                    <a:xfrm>
                      <a:off x="0" y="0"/>
                      <a:ext cx="5303520" cy="3093720"/>
                    </a:xfrm>
                    <a:prstGeom prst="rect"/>
                  </pic:spPr>
                </pic:pic>
              </a:graphicData>
            </a:graphic>
          </wp:inline>
        </w:drawing>
      </w:r>
    </w:p>
    <w:p>
      <w:pPr>
        <w:spacing w:after="200"/>
        <w:jc w:val="center"/>
      </w:pPr>
      <w:r>
        <w:rPr>
          <w:rFonts w:ascii="Arial" w:hAnsi="Arial"/>
          <w:b/>
          <w:i/>
          <w:color w:val="475569"/>
          <w:sz w:val="19"/>
        </w:rPr>
        <w:t>Figure 1: Coverage Truth Layer System Architecture (8-Stage Pipeline + Violet Bounded Agent Branch)</w:t>
      </w:r>
    </w:p>
    <w:p>
      <w:pPr>
        <w:pStyle w:val="Heading2"/>
        <w:keepNext/>
        <w:spacing w:before="280" w:after="80"/>
      </w:pPr>
      <w:r>
        <w:rPr>
          <w:rFonts w:ascii="Arial" w:hAnsi="Arial"/>
          <w:b/>
          <w:color w:val="1E293B"/>
          <w:sz w:val="25"/>
        </w:rPr>
        <w:t>2.1 Conceptual Multi-Stage Pipeline</w:t>
      </w:r>
    </w:p>
    <w:p>
      <w:pPr>
        <w:spacing w:line="300" w:lineRule="auto" w:after="120"/>
        <w:jc w:val="both"/>
      </w:pPr>
      <w:r>
        <w:rPr>
          <w:rFonts w:ascii="Arial" w:hAnsi="Arial"/>
          <w:color w:val="1E293B"/>
          <w:sz w:val="21"/>
        </w:rPr>
        <w:t>The processing pipeline executes across eight sequential stages:</w:t>
      </w:r>
    </w:p>
    <w:p>
      <w:pPr>
        <w:pStyle w:val="ListBullet"/>
        <w:spacing w:line="288" w:lineRule="auto" w:after="60"/>
        <w:jc w:val="both"/>
      </w:pPr>
      <w:r>
        <w:rPr>
          <w:rFonts w:ascii="Arial" w:hAnsi="Arial"/>
          <w:b/>
          <w:color w:val="0F172A"/>
          <w:sz w:val="20"/>
        </w:rPr>
        <w:t xml:space="preserve">Stage 1 — Ingestion &amp; Checksumming: </w:t>
      </w:r>
      <w:r>
        <w:rPr>
          <w:rFonts w:ascii="Arial" w:hAnsi="Arial"/>
          <w:color w:val="1E293B"/>
          <w:sz w:val="20"/>
        </w:rPr>
        <w:t>Ingests broker quote, master policy, and endorsements; computes cryptographic SHA-256 hashes; and maps paragraph coordinates.</w:t>
      </w:r>
    </w:p>
    <w:p>
      <w:pPr>
        <w:pStyle w:val="ListBullet"/>
        <w:spacing w:line="288" w:lineRule="auto" w:after="60"/>
        <w:jc w:val="both"/>
      </w:pPr>
      <w:r>
        <w:rPr>
          <w:rFonts w:ascii="Arial" w:hAnsi="Arial"/>
          <w:b/>
          <w:color w:val="0F172A"/>
          <w:sz w:val="20"/>
        </w:rPr>
        <w:t xml:space="preserve">Stage 2 — Fact Extraction with Provenance: </w:t>
      </w:r>
      <w:r>
        <w:rPr>
          <w:rFonts w:ascii="Arial" w:hAnsi="Arial"/>
          <w:color w:val="1E293B"/>
          <w:sz w:val="20"/>
        </w:rPr>
        <w:t>Extracts structured coverage limits, deductibles, perils, and exclusions with character span links.</w:t>
      </w:r>
    </w:p>
    <w:p>
      <w:pPr>
        <w:pStyle w:val="ListBullet"/>
        <w:spacing w:line="288" w:lineRule="auto" w:after="60"/>
        <w:jc w:val="both"/>
      </w:pPr>
      <w:r>
        <w:rPr>
          <w:rFonts w:ascii="Arial" w:hAnsi="Arial"/>
          <w:b/>
          <w:color w:val="0F172A"/>
          <w:sz w:val="20"/>
        </w:rPr>
        <w:t xml:space="preserve">Stage 3 — Chronology Alignment: </w:t>
      </w:r>
      <w:r>
        <w:rPr>
          <w:rFonts w:ascii="Arial" w:hAnsi="Arial"/>
          <w:color w:val="1E293B"/>
          <w:sz w:val="20"/>
        </w:rPr>
        <w:t>Orders documents along an effective date timeline to identify post-binding riders.</w:t>
      </w:r>
    </w:p>
    <w:p>
      <w:pPr>
        <w:pStyle w:val="ListBullet"/>
        <w:spacing w:line="288" w:lineRule="auto" w:after="60"/>
        <w:jc w:val="both"/>
      </w:pPr>
      <w:r>
        <w:rPr>
          <w:rFonts w:ascii="Arial" w:hAnsi="Arial"/>
          <w:b/>
          <w:color w:val="0F172A"/>
          <w:sz w:val="20"/>
        </w:rPr>
        <w:t xml:space="preserve">Stage 4 — Deterministic Validation: </w:t>
      </w:r>
      <w:r>
        <w:rPr>
          <w:rFonts w:ascii="Arial" w:hAnsi="Arial"/>
          <w:color w:val="1E293B"/>
          <w:sz w:val="20"/>
        </w:rPr>
        <w:t>Zero-hallucination arithmetic comparison of numerical limits, deductibles, and coinsurance percentages.</w:t>
      </w:r>
    </w:p>
    <w:p>
      <w:pPr>
        <w:pStyle w:val="ListBullet"/>
        <w:spacing w:line="288" w:lineRule="auto" w:after="60"/>
        <w:jc w:val="both"/>
      </w:pPr>
      <w:r>
        <w:rPr>
          <w:rFonts w:ascii="Arial" w:hAnsi="Arial"/>
          <w:b/>
          <w:color w:val="0F172A"/>
          <w:sz w:val="20"/>
        </w:rPr>
        <w:t xml:space="preserve">Stage 5 — LLM Semantic Comparison: </w:t>
      </w:r>
      <w:r>
        <w:rPr>
          <w:rFonts w:ascii="Arial" w:hAnsi="Arial"/>
          <w:color w:val="1E293B"/>
          <w:sz w:val="20"/>
        </w:rPr>
        <w:t>Evaluates conditionality language ('notwithstanding any prior representation', 'unless separately scheduled').</w:t>
      </w:r>
    </w:p>
    <w:p>
      <w:pPr>
        <w:pStyle w:val="ListBullet"/>
        <w:spacing w:line="288" w:lineRule="auto" w:after="60"/>
        <w:jc w:val="both"/>
      </w:pPr>
      <w:r>
        <w:rPr>
          <w:rFonts w:ascii="Arial" w:hAnsi="Arial"/>
          <w:b/>
          <w:color w:val="0F172A"/>
          <w:sz w:val="20"/>
        </w:rPr>
        <w:t xml:space="preserve">Stage 6 — Escalation Gate: </w:t>
      </w:r>
      <w:r>
        <w:rPr>
          <w:rFonts w:ascii="Arial" w:hAnsi="Arial"/>
          <w:color w:val="1E293B"/>
          <w:sz w:val="20"/>
        </w:rPr>
        <w:t>Triggers Bounded Agent when variance exceeds 25% or effective dates diverge by &gt;14 days.</w:t>
      </w:r>
    </w:p>
    <w:p>
      <w:pPr>
        <w:pStyle w:val="ListBullet"/>
        <w:spacing w:line="288" w:lineRule="auto" w:after="60"/>
        <w:jc w:val="both"/>
      </w:pPr>
      <w:r>
        <w:rPr>
          <w:rFonts w:ascii="Arial" w:hAnsi="Arial"/>
          <w:b/>
          <w:color w:val="0F172A"/>
          <w:sz w:val="20"/>
        </w:rPr>
        <w:t xml:space="preserve">Stage 7 — Bounded Investigation Agent (Violet): </w:t>
      </w:r>
      <w:r>
        <w:rPr>
          <w:rFonts w:ascii="Arial" w:hAnsi="Arial"/>
          <w:color w:val="1E293B"/>
          <w:sz w:val="20"/>
        </w:rPr>
        <w:t>An autonomous agent that inspects precedence clauses (Master Policy Sec F.4) and transmittal logs.</w:t>
      </w:r>
    </w:p>
    <w:p>
      <w:pPr>
        <w:pStyle w:val="ListBullet"/>
        <w:spacing w:line="288" w:lineRule="auto" w:after="60"/>
        <w:jc w:val="both"/>
      </w:pPr>
      <w:r>
        <w:rPr>
          <w:rFonts w:ascii="Arial" w:hAnsi="Arial"/>
          <w:b/>
          <w:color w:val="0F172A"/>
          <w:sz w:val="20"/>
        </w:rPr>
        <w:t xml:space="preserve">Stage 8 — Evidence Report &amp; Human Routing: </w:t>
      </w:r>
      <w:r>
        <w:rPr>
          <w:rFonts w:ascii="Arial" w:hAnsi="Arial"/>
          <w:color w:val="1E293B"/>
          <w:sz w:val="20"/>
        </w:rPr>
        <w:t>Packages dual-pane source citations and routes findings to licensed underwriters.</w:t>
      </w:r>
    </w:p>
    <w:p>
      <w:pPr>
        <w:pStyle w:val="Heading2"/>
        <w:keepNext/>
        <w:spacing w:before="280" w:after="80"/>
      </w:pPr>
      <w:r>
        <w:rPr>
          <w:rFonts w:ascii="Arial" w:hAnsi="Arial"/>
          <w:b/>
          <w:color w:val="1E293B"/>
          <w:sz w:val="25"/>
        </w:rPr>
        <w:t>2.2 Data Flow Diagrams (DFD)</w:t>
      </w:r>
    </w:p>
    <w:p>
      <w:pPr>
        <w:spacing w:line="300" w:lineRule="auto" w:after="120"/>
        <w:jc w:val="both"/>
      </w:pPr>
      <w:r>
        <w:rPr>
          <w:rFonts w:ascii="Arial" w:hAnsi="Arial"/>
          <w:color w:val="1E293B"/>
          <w:sz w:val="21"/>
        </w:rPr>
        <w:t>Data flows are modeled at Context Level 0 (Figure 2) and Level 1 Functional Decomposition (Figure 3).</w:t>
      </w:r>
    </w:p>
    <w:p>
      <w:pPr>
        <w:spacing w:before="160" w:after="40"/>
        <w:jc w:val="center"/>
      </w:pPr>
      <w:r>
        <w:drawing>
          <wp:inline xmlns:a="http://schemas.openxmlformats.org/drawingml/2006/main" xmlns:pic="http://schemas.openxmlformats.org/drawingml/2006/picture">
            <wp:extent cx="4754880" cy="2377440"/>
            <wp:docPr id="2" name="Picture 2"/>
            <wp:cNvGraphicFramePr>
              <a:graphicFrameLocks noChangeAspect="1"/>
            </wp:cNvGraphicFramePr>
            <a:graphic>
              <a:graphicData uri="http://schemas.openxmlformats.org/drawingml/2006/picture">
                <pic:pic>
                  <pic:nvPicPr>
                    <pic:cNvPr id="0" name="fig3_2_dfd_level0.png"/>
                    <pic:cNvPicPr/>
                  </pic:nvPicPr>
                  <pic:blipFill>
                    <a:blip r:embed="rId10"/>
                    <a:stretch>
                      <a:fillRect/>
                    </a:stretch>
                  </pic:blipFill>
                  <pic:spPr>
                    <a:xfrm>
                      <a:off x="0" y="0"/>
                      <a:ext cx="4754880" cy="2377440"/>
                    </a:xfrm>
                    <a:prstGeom prst="rect"/>
                  </pic:spPr>
                </pic:pic>
              </a:graphicData>
            </a:graphic>
          </wp:inline>
        </w:drawing>
      </w:r>
    </w:p>
    <w:p>
      <w:pPr>
        <w:spacing w:after="200"/>
        <w:jc w:val="center"/>
      </w:pPr>
      <w:r>
        <w:rPr>
          <w:rFonts w:ascii="Arial" w:hAnsi="Arial"/>
          <w:b/>
          <w:i/>
          <w:color w:val="475569"/>
          <w:sz w:val="19"/>
        </w:rPr>
        <w:t>Figure 2: Context Level 0 Data Flow Diagram</w:t>
      </w:r>
    </w:p>
    <w:p>
      <w:pPr>
        <w:spacing w:before="160" w:after="40"/>
        <w:jc w:val="center"/>
      </w:pPr>
      <w:r>
        <w:drawing>
          <wp:inline xmlns:a="http://schemas.openxmlformats.org/drawingml/2006/main" xmlns:pic="http://schemas.openxmlformats.org/drawingml/2006/picture">
            <wp:extent cx="5029200" cy="3200400"/>
            <wp:docPr id="3" name="Picture 3"/>
            <wp:cNvGraphicFramePr>
              <a:graphicFrameLocks noChangeAspect="1"/>
            </wp:cNvGraphicFramePr>
            <a:graphic>
              <a:graphicData uri="http://schemas.openxmlformats.org/drawingml/2006/picture">
                <pic:pic>
                  <pic:nvPicPr>
                    <pic:cNvPr id="0" name="fig3_3_dfd_level1.png"/>
                    <pic:cNvPicPr/>
                  </pic:nvPicPr>
                  <pic:blipFill>
                    <a:blip r:embed="rId11"/>
                    <a:stretch>
                      <a:fillRect/>
                    </a:stretch>
                  </pic:blipFill>
                  <pic:spPr>
                    <a:xfrm>
                      <a:off x="0" y="0"/>
                      <a:ext cx="5029200" cy="3200400"/>
                    </a:xfrm>
                    <a:prstGeom prst="rect"/>
                  </pic:spPr>
                </pic:pic>
              </a:graphicData>
            </a:graphic>
          </wp:inline>
        </w:drawing>
      </w:r>
    </w:p>
    <w:p>
      <w:pPr>
        <w:spacing w:after="200"/>
        <w:jc w:val="center"/>
      </w:pPr>
      <w:r>
        <w:rPr>
          <w:rFonts w:ascii="Arial" w:hAnsi="Arial"/>
          <w:b/>
          <w:i/>
          <w:color w:val="475569"/>
          <w:sz w:val="19"/>
        </w:rPr>
        <w:t>Figure 3: Level 1 Data Flow Diagram (Functional Decomposition)</w:t>
      </w:r>
    </w:p>
    <w:p>
      <w:pPr>
        <w:pStyle w:val="Heading2"/>
        <w:keepNext/>
        <w:spacing w:before="280" w:after="80"/>
      </w:pPr>
      <w:r>
        <w:rPr>
          <w:rFonts w:ascii="Arial" w:hAnsi="Arial"/>
          <w:b/>
          <w:color w:val="1E293B"/>
          <w:sz w:val="25"/>
        </w:rPr>
        <w:t>2.3 UML Workflow &amp; Use Case Descriptions</w:t>
      </w:r>
    </w:p>
    <w:p>
      <w:pPr>
        <w:spacing w:line="300" w:lineRule="auto" w:after="120"/>
        <w:jc w:val="both"/>
      </w:pPr>
      <w:r>
        <w:rPr>
          <w:rFonts w:ascii="Arial" w:hAnsi="Arial"/>
          <w:color w:val="1E293B"/>
          <w:sz w:val="21"/>
        </w:rPr>
        <w:t>The UML Use Case Diagram (Figure 4) models the operational boundaries between the Underwriter / Risk Reviewer actor and the Autonomous Investigation Agent.</w:t>
      </w:r>
    </w:p>
    <w:p>
      <w:pPr>
        <w:spacing w:before="160" w:after="40"/>
        <w:jc w:val="center"/>
      </w:pPr>
      <w:r>
        <w:drawing>
          <wp:inline xmlns:a="http://schemas.openxmlformats.org/drawingml/2006/main" xmlns:pic="http://schemas.openxmlformats.org/drawingml/2006/picture">
            <wp:extent cx="4937760" cy="2962656"/>
            <wp:docPr id="4" name="Picture 4"/>
            <wp:cNvGraphicFramePr>
              <a:graphicFrameLocks noChangeAspect="1"/>
            </wp:cNvGraphicFramePr>
            <a:graphic>
              <a:graphicData uri="http://schemas.openxmlformats.org/drawingml/2006/picture">
                <pic:pic>
                  <pic:nvPicPr>
                    <pic:cNvPr id="0" name="fig3_4_uml_use_case.png"/>
                    <pic:cNvPicPr/>
                  </pic:nvPicPr>
                  <pic:blipFill>
                    <a:blip r:embed="rId12"/>
                    <a:stretch>
                      <a:fillRect/>
                    </a:stretch>
                  </pic:blipFill>
                  <pic:spPr>
                    <a:xfrm>
                      <a:off x="0" y="0"/>
                      <a:ext cx="4937760" cy="2962656"/>
                    </a:xfrm>
                    <a:prstGeom prst="rect"/>
                  </pic:spPr>
                </pic:pic>
              </a:graphicData>
            </a:graphic>
          </wp:inline>
        </w:drawing>
      </w:r>
    </w:p>
    <w:p>
      <w:pPr>
        <w:spacing w:after="200"/>
        <w:jc w:val="center"/>
      </w:pPr>
      <w:r>
        <w:rPr>
          <w:rFonts w:ascii="Arial" w:hAnsi="Arial"/>
          <w:b/>
          <w:i/>
          <w:color w:val="475569"/>
          <w:sz w:val="19"/>
        </w:rPr>
        <w:t>Figure 4: UML Use Case Diagram for Coverage Truth Layer</w:t>
      </w:r>
    </w:p>
    <w:p>
      <w:pPr>
        <w:pStyle w:val="Heading1"/>
        <w:keepNext/>
        <w:spacing w:before="280" w:after="80"/>
      </w:pPr>
      <w:r>
        <w:rPr>
          <w:rFonts w:ascii="Arial" w:hAnsi="Arial"/>
          <w:b/>
          <w:color w:val="0E7490"/>
          <w:sz w:val="30"/>
        </w:rPr>
        <w:t>3. Implementation of the Proposed System</w:t>
      </w:r>
    </w:p>
    <w:p>
      <w:pPr>
        <w:spacing w:line="300" w:lineRule="auto" w:after="120"/>
        <w:jc w:val="both"/>
      </w:pPr>
      <w:r>
        <w:rPr>
          <w:rFonts w:ascii="Arial" w:hAnsi="Arial"/>
          <w:color w:val="1E293B"/>
          <w:sz w:val="21"/>
        </w:rPr>
        <w:t>The methodology combines deterministic variance calculations with autonomous chronology verification. Figure 5 depicts the processing methodology flowchart.</w:t>
      </w:r>
    </w:p>
    <w:p>
      <w:pPr>
        <w:spacing w:before="160" w:after="40"/>
        <w:jc w:val="center"/>
      </w:pPr>
      <w:r>
        <w:drawing>
          <wp:inline xmlns:a="http://schemas.openxmlformats.org/drawingml/2006/main" xmlns:pic="http://schemas.openxmlformats.org/drawingml/2006/picture">
            <wp:extent cx="5029200" cy="4023360"/>
            <wp:docPr id="5" name="Picture 5"/>
            <wp:cNvGraphicFramePr>
              <a:graphicFrameLocks noChangeAspect="1"/>
            </wp:cNvGraphicFramePr>
            <a:graphic>
              <a:graphicData uri="http://schemas.openxmlformats.org/drawingml/2006/picture">
                <pic:pic>
                  <pic:nvPicPr>
                    <pic:cNvPr id="0" name="fig4_1_methodology_flowchart.png"/>
                    <pic:cNvPicPr/>
                  </pic:nvPicPr>
                  <pic:blipFill>
                    <a:blip r:embed="rId13"/>
                    <a:stretch>
                      <a:fillRect/>
                    </a:stretch>
                  </pic:blipFill>
                  <pic:spPr>
                    <a:xfrm>
                      <a:off x="0" y="0"/>
                      <a:ext cx="5029200" cy="4023360"/>
                    </a:xfrm>
                    <a:prstGeom prst="rect"/>
                  </pic:spPr>
                </pic:pic>
              </a:graphicData>
            </a:graphic>
          </wp:inline>
        </w:drawing>
      </w:r>
    </w:p>
    <w:p>
      <w:pPr>
        <w:spacing w:after="200"/>
        <w:jc w:val="center"/>
      </w:pPr>
      <w:r>
        <w:rPr>
          <w:rFonts w:ascii="Arial" w:hAnsi="Arial"/>
          <w:b/>
          <w:i/>
          <w:color w:val="475569"/>
          <w:sz w:val="19"/>
        </w:rPr>
        <w:t>Figure 5: Processing Methodology Flowchart &amp; Escalation Logic</w:t>
      </w:r>
    </w:p>
    <w:p>
      <w:pPr>
        <w:pStyle w:val="Heading2"/>
        <w:keepNext/>
        <w:spacing w:before="280" w:after="80"/>
      </w:pPr>
      <w:r>
        <w:rPr>
          <w:rFonts w:ascii="Arial" w:hAnsi="Arial"/>
          <w:b/>
          <w:color w:val="1E293B"/>
          <w:sz w:val="25"/>
        </w:rPr>
        <w:t>3.1 Technology Stack &amp; Architecture</w:t>
      </w:r>
    </w:p>
    <w:p>
      <w:pPr>
        <w:pStyle w:val="ListBullet"/>
        <w:spacing w:line="288" w:lineRule="auto" w:after="60"/>
        <w:jc w:val="both"/>
      </w:pPr>
      <w:r>
        <w:rPr>
          <w:rFonts w:ascii="Arial" w:hAnsi="Arial"/>
          <w:b/>
          <w:color w:val="0F172A"/>
          <w:sz w:val="20"/>
        </w:rPr>
        <w:t xml:space="preserve">Frontend Framework: </w:t>
      </w:r>
      <w:r>
        <w:rPr>
          <w:rFonts w:ascii="Arial" w:hAnsi="Arial"/>
          <w:color w:val="1E293B"/>
          <w:sz w:val="20"/>
        </w:rPr>
        <w:t>React 18 + TypeScript + Vite 6 for high-speed reactive UI rendering.</w:t>
      </w:r>
    </w:p>
    <w:p>
      <w:pPr>
        <w:pStyle w:val="ListBullet"/>
        <w:spacing w:line="288" w:lineRule="auto" w:after="60"/>
        <w:jc w:val="both"/>
      </w:pPr>
      <w:r>
        <w:rPr>
          <w:rFonts w:ascii="Arial" w:hAnsi="Arial"/>
          <w:b/>
          <w:color w:val="0F172A"/>
          <w:sz w:val="20"/>
        </w:rPr>
        <w:t xml:space="preserve">Design System: </w:t>
      </w:r>
      <w:r>
        <w:rPr>
          <w:rFonts w:ascii="Arial" w:hAnsi="Arial"/>
          <w:color w:val="1E293B"/>
          <w:sz w:val="20"/>
        </w:rPr>
        <w:t>Tailwind CSS with an enterprise dark palette (#070A12 navy, #00E5FF cyan evidence highlights, #A855F7 violet agent indicators, #10B981 emerald reviewed states).</w:t>
      </w:r>
    </w:p>
    <w:p>
      <w:pPr>
        <w:pStyle w:val="ListBullet"/>
        <w:spacing w:line="288" w:lineRule="auto" w:after="60"/>
        <w:jc w:val="both"/>
      </w:pPr>
      <w:r>
        <w:rPr>
          <w:rFonts w:ascii="Arial" w:hAnsi="Arial"/>
          <w:b/>
          <w:color w:val="0F172A"/>
          <w:sz w:val="20"/>
        </w:rPr>
        <w:t xml:space="preserve">Motion &amp; Feedback: </w:t>
      </w:r>
      <w:r>
        <w:rPr>
          <w:rFonts w:ascii="Arial" w:hAnsi="Arial"/>
          <w:color w:val="1E293B"/>
          <w:sz w:val="20"/>
        </w:rPr>
        <w:t>Framer Motion animations for document ingestion flows and Canvas Confetti for audit completion states.</w:t>
      </w:r>
    </w:p>
    <w:p>
      <w:pPr>
        <w:pStyle w:val="ListBullet"/>
        <w:spacing w:line="288" w:lineRule="auto" w:after="60"/>
        <w:jc w:val="both"/>
      </w:pPr>
      <w:r>
        <w:rPr>
          <w:rFonts w:ascii="Arial" w:hAnsi="Arial"/>
          <w:b/>
          <w:color w:val="0F172A"/>
          <w:sz w:val="20"/>
        </w:rPr>
        <w:t xml:space="preserve">Client-Side Persistence: </w:t>
      </w:r>
      <w:r>
        <w:rPr>
          <w:rFonts w:ascii="Arial" w:hAnsi="Arial"/>
          <w:color w:val="1E293B"/>
          <w:sz w:val="20"/>
        </w:rPr>
        <w:t>HTML5 LocalStorage API persists underwriter triage actions and append-only audit event logs across reloads.</w:t>
      </w:r>
    </w:p>
    <w:p>
      <w:pPr>
        <w:pStyle w:val="ListBullet"/>
        <w:spacing w:line="288" w:lineRule="auto" w:after="60"/>
        <w:jc w:val="both"/>
      </w:pPr>
      <w:r>
        <w:rPr>
          <w:rFonts w:ascii="Arial" w:hAnsi="Arial"/>
          <w:b/>
          <w:color w:val="0F172A"/>
          <w:sz w:val="20"/>
        </w:rPr>
        <w:t xml:space="preserve">Production Build &amp; Hosting: </w:t>
      </w:r>
      <w:r>
        <w:rPr>
          <w:rFonts w:ascii="Arial" w:hAnsi="Arial"/>
          <w:color w:val="1E293B"/>
          <w:sz w:val="20"/>
        </w:rPr>
        <w:t>Compiled via Vite (2010 modules transformed, 0 errors) and deployed to Vercel with SPA routing.</w:t>
      </w:r>
    </w:p>
    <w:p>
      <w:pPr>
        <w:pStyle w:val="Heading2"/>
        <w:keepNext/>
        <w:spacing w:before="280" w:after="80"/>
      </w:pPr>
      <w:r>
        <w:rPr>
          <w:rFonts w:ascii="Arial" w:hAnsi="Arial"/>
          <w:b/>
          <w:color w:val="1E293B"/>
          <w:sz w:val="25"/>
        </w:rPr>
        <w:t>3.2 Fictional Case Study Implementation</w:t>
      </w:r>
    </w:p>
    <w:p>
      <w:pPr>
        <w:spacing w:line="300" w:lineRule="auto" w:after="120"/>
        <w:jc w:val="both"/>
      </w:pPr>
      <w:r>
        <w:rPr>
          <w:rFonts w:ascii="Arial" w:hAnsi="Arial"/>
          <w:color w:val="1E293B"/>
          <w:sz w:val="21"/>
        </w:rPr>
        <w:t>To ensure realistic testing without compromising proprietary insurance files, the system implements a verified fictional commercial property corpus:</w:t>
      </w:r>
    </w:p>
    <w:p>
      <w:pPr>
        <w:pStyle w:val="ListBullet"/>
        <w:spacing w:line="288" w:lineRule="auto" w:after="60"/>
        <w:jc w:val="both"/>
      </w:pPr>
      <w:r>
        <w:rPr>
          <w:rFonts w:ascii="Arial" w:hAnsi="Arial"/>
          <w:b/>
          <w:color w:val="0F172A"/>
          <w:sz w:val="20"/>
        </w:rPr>
        <w:t xml:space="preserve">Insured: </w:t>
      </w:r>
      <w:r>
        <w:rPr>
          <w:rFonts w:ascii="Arial" w:hAnsi="Arial"/>
          <w:color w:val="1E293B"/>
          <w:sz w:val="20"/>
        </w:rPr>
        <w:t>Apex Global Logistics LLC (TIV: $24.5M across Chicago, Dallas, and Atlanta hubs).</w:t>
      </w:r>
    </w:p>
    <w:p>
      <w:pPr>
        <w:pStyle w:val="ListBullet"/>
        <w:spacing w:line="288" w:lineRule="auto" w:after="60"/>
        <w:jc w:val="both"/>
      </w:pPr>
      <w:r>
        <w:rPr>
          <w:rFonts w:ascii="Arial" w:hAnsi="Arial"/>
          <w:b/>
          <w:color w:val="0F172A"/>
          <w:sz w:val="20"/>
        </w:rPr>
        <w:t xml:space="preserve">Broker Quote (BQ-2025-8821, Sec 3.B, P. 4): </w:t>
      </w:r>
      <w:r>
        <w:rPr>
          <w:rFonts w:ascii="Arial" w:hAnsi="Arial"/>
          <w:color w:val="1E293B"/>
          <w:sz w:val="20"/>
        </w:rPr>
        <w:t>Affirmative water damage &amp; sewer backup included up to $1,000,000 blanket limit; effective 2025-04-01.</w:t>
      </w:r>
    </w:p>
    <w:p>
      <w:pPr>
        <w:pStyle w:val="ListBullet"/>
        <w:spacing w:line="288" w:lineRule="auto" w:after="60"/>
        <w:jc w:val="both"/>
      </w:pPr>
      <w:r>
        <w:rPr>
          <w:rFonts w:ascii="Arial" w:hAnsi="Arial"/>
          <w:b/>
          <w:color w:val="0F172A"/>
          <w:sz w:val="20"/>
        </w:rPr>
        <w:t xml:space="preserve">Master Policy (POL-CP-99042, Sec B.1.g, P. 14): </w:t>
      </w:r>
      <w:r>
        <w:rPr>
          <w:rFonts w:ascii="Arial" w:hAnsi="Arial"/>
          <w:color w:val="1E293B"/>
          <w:sz w:val="20"/>
        </w:rPr>
        <w:t>ISO Form CP 00 10; water exclusion subject to schedule endorsements.</w:t>
      </w:r>
    </w:p>
    <w:p>
      <w:pPr>
        <w:pStyle w:val="ListBullet"/>
        <w:spacing w:line="288" w:lineRule="auto" w:after="60"/>
        <w:jc w:val="both"/>
      </w:pPr>
      <w:r>
        <w:rPr>
          <w:rFonts w:ascii="Arial" w:hAnsi="Arial"/>
          <w:b/>
          <w:color w:val="0F172A"/>
          <w:sz w:val="20"/>
        </w:rPr>
        <w:t xml:space="preserve">Later Endorsement (END-04-WTR, Cl. 2, P. 2): </w:t>
      </w:r>
      <w:r>
        <w:rPr>
          <w:rFonts w:ascii="Arial" w:hAnsi="Arial"/>
          <w:color w:val="1E293B"/>
          <w:sz w:val="20"/>
        </w:rPr>
        <w:t>Issued 17 days post-inception (2025-04-18); caps sewer backup to $50,000 aggregate sub-limit.</w:t>
      </w:r>
    </w:p>
    <w:p>
      <w:pPr>
        <w:pStyle w:val="Heading1"/>
        <w:keepNext/>
        <w:spacing w:before="280" w:after="80"/>
      </w:pPr>
      <w:r>
        <w:rPr>
          <w:rFonts w:ascii="Arial" w:hAnsi="Arial"/>
          <w:b/>
          <w:color w:val="0E7490"/>
          <w:sz w:val="30"/>
        </w:rPr>
        <w:t>4. Results, Outputs and Discussions</w:t>
      </w:r>
    </w:p>
    <w:p>
      <w:pPr>
        <w:spacing w:line="300" w:lineRule="auto" w:after="120"/>
        <w:jc w:val="both"/>
      </w:pPr>
      <w:r>
        <w:rPr>
          <w:rFonts w:ascii="Arial" w:hAnsi="Arial"/>
          <w:b/>
          <w:color w:val="0F172A"/>
          <w:sz w:val="21"/>
        </w:rPr>
        <w:t xml:space="preserve">Verified Public URL: </w:t>
      </w:r>
      <w:r>
        <w:rPr>
          <w:rFonts w:ascii="Arial" w:hAnsi="Arial"/>
          <w:color w:val="1E293B"/>
          <w:sz w:val="21"/>
        </w:rPr>
        <w:t>https://coverage-truth-layer.vercel.app/</w:t>
      </w:r>
    </w:p>
    <w:p>
      <w:pPr>
        <w:spacing w:line="300" w:lineRule="auto" w:after="120"/>
        <w:jc w:val="both"/>
      </w:pPr>
      <w:r>
        <w:rPr>
          <w:rFonts w:ascii="Arial" w:hAnsi="Arial"/>
          <w:color w:val="1E293B"/>
          <w:sz w:val="21"/>
        </w:rPr>
        <w:t>The deployed web application provides immediate interactive access to the complete reconciliation workflow without requiring API keys or backend setup.</w:t>
      </w:r>
    </w:p>
    <w:p>
      <w:pPr>
        <w:pStyle w:val="Heading2"/>
        <w:keepNext/>
        <w:spacing w:before="280" w:after="80"/>
      </w:pPr>
      <w:r>
        <w:rPr>
          <w:rFonts w:ascii="Arial" w:hAnsi="Arial"/>
          <w:b/>
          <w:color w:val="1E293B"/>
          <w:sz w:val="25"/>
        </w:rPr>
        <w:t>4.1 System Test Execution Results</w:t>
      </w:r>
    </w:p>
    <w:p>
      <w:pPr>
        <w:spacing w:line="300" w:lineRule="auto" w:after="120"/>
        <w:jc w:val="both"/>
      </w:pPr>
      <w:r>
        <w:rPr>
          <w:rFonts w:ascii="Arial" w:hAnsi="Arial"/>
          <w:color w:val="1E293B"/>
          <w:sz w:val="21"/>
        </w:rPr>
        <w:t>Table 1 details the execution results of core test scenarios evaluated against the live platform.</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296"/>
            <w:tcMar>
              <w:top w:w="100" w:type="dxa"/>
              <w:bottom w:w="100" w:type="dxa"/>
              <w:left w:w="120" w:type="dxa"/>
              <w:right w:w="120" w:type="dxa"/>
            </w:tcMar>
            <w:shd w:fill="0F172A"/>
          </w:tcPr>
          <w:p>
            <w:pPr>
              <w:spacing w:before="40" w:after="40"/>
              <w:jc w:val="center"/>
            </w:pPr>
            <w:r>
              <w:rPr>
                <w:rFonts w:ascii="Arial" w:hAnsi="Arial"/>
                <w:b/>
                <w:color w:val="FFFFFF"/>
                <w:sz w:val="19"/>
              </w:rPr>
              <w:t>Test ID</w:t>
            </w:r>
          </w:p>
        </w:tc>
        <w:tc>
          <w:tcPr>
            <w:tcW w:type="dxa" w:w="2160"/>
            <w:tcMar>
              <w:top w:w="100" w:type="dxa"/>
              <w:bottom w:w="100" w:type="dxa"/>
              <w:left w:w="120" w:type="dxa"/>
              <w:right w:w="120" w:type="dxa"/>
            </w:tcMar>
            <w:shd w:fill="0F172A"/>
          </w:tcPr>
          <w:p>
            <w:pPr>
              <w:spacing w:before="40" w:after="40"/>
              <w:jc w:val="center"/>
            </w:pPr>
            <w:r>
              <w:rPr>
                <w:rFonts w:ascii="Arial" w:hAnsi="Arial"/>
                <w:b/>
                <w:color w:val="FFFFFF"/>
                <w:sz w:val="19"/>
              </w:rPr>
              <w:t>Scenario</w:t>
            </w:r>
          </w:p>
        </w:tc>
        <w:tc>
          <w:tcPr>
            <w:tcW w:type="dxa" w:w="2160"/>
            <w:tcMar>
              <w:top w:w="100" w:type="dxa"/>
              <w:bottom w:w="100" w:type="dxa"/>
              <w:left w:w="120" w:type="dxa"/>
              <w:right w:w="120" w:type="dxa"/>
            </w:tcMar>
            <w:shd w:fill="0F172A"/>
          </w:tcPr>
          <w:p>
            <w:pPr>
              <w:spacing w:before="40" w:after="40"/>
              <w:jc w:val="center"/>
            </w:pPr>
            <w:r>
              <w:rPr>
                <w:rFonts w:ascii="Arial" w:hAnsi="Arial"/>
                <w:b/>
                <w:color w:val="FFFFFF"/>
                <w:sz w:val="19"/>
              </w:rPr>
              <w:t>Input Condition</w:t>
            </w:r>
          </w:p>
        </w:tc>
        <w:tc>
          <w:tcPr>
            <w:tcW w:type="dxa" w:w="1728"/>
            <w:tcMar>
              <w:top w:w="100" w:type="dxa"/>
              <w:bottom w:w="100" w:type="dxa"/>
              <w:left w:w="120" w:type="dxa"/>
              <w:right w:w="120" w:type="dxa"/>
            </w:tcMar>
            <w:shd w:fill="0F172A"/>
          </w:tcPr>
          <w:p>
            <w:pPr>
              <w:spacing w:before="40" w:after="40"/>
              <w:jc w:val="center"/>
            </w:pPr>
            <w:r>
              <w:rPr>
                <w:rFonts w:ascii="Arial" w:hAnsi="Arial"/>
                <w:b/>
                <w:color w:val="FFFFFF"/>
                <w:sz w:val="19"/>
              </w:rPr>
              <w:t>Observed Output</w:t>
            </w:r>
          </w:p>
        </w:tc>
        <w:tc>
          <w:tcPr>
            <w:tcW w:type="dxa" w:w="1008"/>
            <w:tcMar>
              <w:top w:w="100" w:type="dxa"/>
              <w:bottom w:w="100" w:type="dxa"/>
              <w:left w:w="120" w:type="dxa"/>
              <w:right w:w="120" w:type="dxa"/>
            </w:tcMar>
            <w:shd w:fill="0F172A"/>
          </w:tcPr>
          <w:p>
            <w:pPr>
              <w:spacing w:before="40" w:after="40"/>
              <w:jc w:val="center"/>
            </w:pPr>
            <w:r>
              <w:rPr>
                <w:rFonts w:ascii="Arial" w:hAnsi="Arial"/>
                <w:b/>
                <w:color w:val="FFFFFF"/>
                <w:sz w:val="19"/>
              </w:rPr>
              <w:t>Status</w:t>
            </w:r>
          </w:p>
        </w:tc>
      </w:tr>
      <w:tr>
        <w:trPr>
          <w:cantSplit/>
        </w:trPr>
        <w:tc>
          <w:tcPr>
            <w:tcW w:type="dxa" w:w="1296"/>
            <w:tcMar>
              <w:top w:w="100" w:type="dxa"/>
              <w:bottom w:w="100" w:type="dxa"/>
              <w:left w:w="120" w:type="dxa"/>
              <w:right w:w="120" w:type="dxa"/>
            </w:tcMar>
            <w:shd w:fill="F8FAFC"/>
          </w:tcPr>
          <w:p>
            <w:pPr>
              <w:spacing w:before="40" w:after="40"/>
            </w:pPr>
            <w:r>
              <w:rPr>
                <w:rFonts w:ascii="Arial" w:hAnsi="Arial"/>
                <w:color w:val="1E293B"/>
                <w:sz w:val="18"/>
              </w:rPr>
              <w:t>TC-01</w:t>
            </w:r>
          </w:p>
        </w:tc>
        <w:tc>
          <w:tcPr>
            <w:tcW w:type="dxa" w:w="2160"/>
            <w:tcMar>
              <w:top w:w="100" w:type="dxa"/>
              <w:bottom w:w="100" w:type="dxa"/>
              <w:left w:w="120" w:type="dxa"/>
              <w:right w:w="120" w:type="dxa"/>
            </w:tcMar>
            <w:shd w:fill="F8FAFC"/>
          </w:tcPr>
          <w:p>
            <w:pPr>
              <w:spacing w:before="40" w:after="40"/>
            </w:pPr>
            <w:r>
              <w:rPr>
                <w:rFonts w:ascii="Arial" w:hAnsi="Arial"/>
                <w:color w:val="1E293B"/>
                <w:sz w:val="18"/>
              </w:rPr>
              <w:t>Numerical Contradiction</w:t>
            </w:r>
          </w:p>
        </w:tc>
        <w:tc>
          <w:tcPr>
            <w:tcW w:type="dxa" w:w="2160"/>
            <w:tcMar>
              <w:top w:w="100" w:type="dxa"/>
              <w:bottom w:w="100" w:type="dxa"/>
              <w:left w:w="120" w:type="dxa"/>
              <w:right w:w="120" w:type="dxa"/>
            </w:tcMar>
            <w:shd w:fill="F8FAFC"/>
          </w:tcPr>
          <w:p>
            <w:pPr>
              <w:spacing w:before="40" w:after="40"/>
            </w:pPr>
            <w:r>
              <w:rPr>
                <w:rFonts w:ascii="Arial" w:hAnsi="Arial"/>
                <w:color w:val="1E293B"/>
                <w:sz w:val="18"/>
              </w:rPr>
              <w:t>$1M Quote vs $50k Endorsement</w:t>
            </w:r>
          </w:p>
        </w:tc>
        <w:tc>
          <w:tcPr>
            <w:tcW w:type="dxa" w:w="1728"/>
            <w:tcMar>
              <w:top w:w="100" w:type="dxa"/>
              <w:bottom w:w="100" w:type="dxa"/>
              <w:left w:w="120" w:type="dxa"/>
              <w:right w:w="120" w:type="dxa"/>
            </w:tcMar>
            <w:shd w:fill="F8FAFC"/>
          </w:tcPr>
          <w:p>
            <w:pPr>
              <w:spacing w:before="40" w:after="40"/>
            </w:pPr>
            <w:r>
              <w:rPr>
                <w:rFonts w:ascii="Arial" w:hAnsi="Arial"/>
                <w:color w:val="1E293B"/>
                <w:sz w:val="18"/>
              </w:rPr>
              <w:t>Flagged Critical finding (-$950k gap)</w:t>
            </w:r>
          </w:p>
        </w:tc>
        <w:tc>
          <w:tcPr>
            <w:tcW w:type="dxa" w:w="1008"/>
            <w:tcMar>
              <w:top w:w="100" w:type="dxa"/>
              <w:bottom w:w="100" w:type="dxa"/>
              <w:left w:w="120" w:type="dxa"/>
              <w:right w:w="120" w:type="dxa"/>
            </w:tcMar>
            <w:shd w:fill="F8FAFC"/>
          </w:tcPr>
          <w:p>
            <w:pPr>
              <w:spacing w:before="40" w:after="40"/>
            </w:pPr>
            <w:r>
              <w:rPr>
                <w:rFonts w:ascii="Arial" w:hAnsi="Arial"/>
                <w:color w:val="1E293B"/>
                <w:sz w:val="18"/>
              </w:rPr>
              <w:t>PASS</w:t>
            </w:r>
          </w:p>
        </w:tc>
      </w:tr>
      <w:tr>
        <w:trPr>
          <w:cantSplit/>
        </w:trPr>
        <w:tc>
          <w:tcPr>
            <w:tcW w:type="dxa" w:w="1296"/>
            <w:tcMar>
              <w:top w:w="100" w:type="dxa"/>
              <w:bottom w:w="100" w:type="dxa"/>
              <w:left w:w="120" w:type="dxa"/>
              <w:right w:w="120" w:type="dxa"/>
            </w:tcMar>
            <w:shd w:fill="FFFFFF"/>
          </w:tcPr>
          <w:p>
            <w:pPr>
              <w:spacing w:before="40" w:after="40"/>
            </w:pPr>
            <w:r>
              <w:rPr>
                <w:rFonts w:ascii="Arial" w:hAnsi="Arial"/>
                <w:color w:val="1E293B"/>
                <w:sz w:val="18"/>
              </w:rPr>
              <w:t>TC-02</w:t>
            </w:r>
          </w:p>
        </w:tc>
        <w:tc>
          <w:tcPr>
            <w:tcW w:type="dxa" w:w="2160"/>
            <w:tcMar>
              <w:top w:w="100" w:type="dxa"/>
              <w:bottom w:w="100" w:type="dxa"/>
              <w:left w:w="120" w:type="dxa"/>
              <w:right w:w="120" w:type="dxa"/>
            </w:tcMar>
            <w:shd w:fill="FFFFFF"/>
          </w:tcPr>
          <w:p>
            <w:pPr>
              <w:spacing w:before="40" w:after="40"/>
            </w:pPr>
            <w:r>
              <w:rPr>
                <w:rFonts w:ascii="Arial" w:hAnsi="Arial"/>
                <w:color w:val="1E293B"/>
                <w:sz w:val="18"/>
              </w:rPr>
              <w:t>Chronology Disparity</w:t>
            </w:r>
          </w:p>
        </w:tc>
        <w:tc>
          <w:tcPr>
            <w:tcW w:type="dxa" w:w="2160"/>
            <w:tcMar>
              <w:top w:w="100" w:type="dxa"/>
              <w:bottom w:w="100" w:type="dxa"/>
              <w:left w:w="120" w:type="dxa"/>
              <w:right w:w="120" w:type="dxa"/>
            </w:tcMar>
            <w:shd w:fill="FFFFFF"/>
          </w:tcPr>
          <w:p>
            <w:pPr>
              <w:spacing w:before="40" w:after="40"/>
            </w:pPr>
            <w:r>
              <w:rPr>
                <w:rFonts w:ascii="Arial" w:hAnsi="Arial"/>
                <w:color w:val="1E293B"/>
                <w:sz w:val="18"/>
              </w:rPr>
              <w:t>Quote (04-01) vs Endorsement (04-18)</w:t>
            </w:r>
          </w:p>
        </w:tc>
        <w:tc>
          <w:tcPr>
            <w:tcW w:type="dxa" w:w="1728"/>
            <w:tcMar>
              <w:top w:w="100" w:type="dxa"/>
              <w:bottom w:w="100" w:type="dxa"/>
              <w:left w:w="120" w:type="dxa"/>
              <w:right w:w="120" w:type="dxa"/>
            </w:tcMar>
            <w:shd w:fill="FFFFFF"/>
          </w:tcPr>
          <w:p>
            <w:pPr>
              <w:spacing w:before="40" w:after="40"/>
            </w:pPr>
            <w:r>
              <w:rPr>
                <w:rFonts w:ascii="Arial" w:hAnsi="Arial"/>
                <w:color w:val="1E293B"/>
                <w:sz w:val="18"/>
              </w:rPr>
              <w:t>Triggered Bounded Agent branch (&gt;14d)</w:t>
            </w:r>
          </w:p>
        </w:tc>
        <w:tc>
          <w:tcPr>
            <w:tcW w:type="dxa" w:w="1008"/>
            <w:tcMar>
              <w:top w:w="100" w:type="dxa"/>
              <w:bottom w:w="100" w:type="dxa"/>
              <w:left w:w="120" w:type="dxa"/>
              <w:right w:w="120" w:type="dxa"/>
            </w:tcMar>
            <w:shd w:fill="FFFFFF"/>
          </w:tcPr>
          <w:p>
            <w:pPr>
              <w:spacing w:before="40" w:after="40"/>
            </w:pPr>
            <w:r>
              <w:rPr>
                <w:rFonts w:ascii="Arial" w:hAnsi="Arial"/>
                <w:color w:val="1E293B"/>
                <w:sz w:val="18"/>
              </w:rPr>
              <w:t>PASS</w:t>
            </w:r>
          </w:p>
        </w:tc>
      </w:tr>
      <w:tr>
        <w:trPr>
          <w:cantSplit/>
        </w:trPr>
        <w:tc>
          <w:tcPr>
            <w:tcW w:type="dxa" w:w="1296"/>
            <w:tcMar>
              <w:top w:w="100" w:type="dxa"/>
              <w:bottom w:w="100" w:type="dxa"/>
              <w:left w:w="120" w:type="dxa"/>
              <w:right w:w="120" w:type="dxa"/>
            </w:tcMar>
            <w:shd w:fill="F8FAFC"/>
          </w:tcPr>
          <w:p>
            <w:pPr>
              <w:spacing w:before="40" w:after="40"/>
            </w:pPr>
            <w:r>
              <w:rPr>
                <w:rFonts w:ascii="Arial" w:hAnsi="Arial"/>
                <w:color w:val="1E293B"/>
                <w:sz w:val="18"/>
              </w:rPr>
              <w:t>TC-03</w:t>
            </w:r>
          </w:p>
        </w:tc>
        <w:tc>
          <w:tcPr>
            <w:tcW w:type="dxa" w:w="2160"/>
            <w:tcMar>
              <w:top w:w="100" w:type="dxa"/>
              <w:bottom w:w="100" w:type="dxa"/>
              <w:left w:w="120" w:type="dxa"/>
              <w:right w:w="120" w:type="dxa"/>
            </w:tcMar>
            <w:shd w:fill="F8FAFC"/>
          </w:tcPr>
          <w:p>
            <w:pPr>
              <w:spacing w:before="40" w:after="40"/>
            </w:pPr>
            <w:r>
              <w:rPr>
                <w:rFonts w:ascii="Arial" w:hAnsi="Arial"/>
                <w:color w:val="1E293B"/>
                <w:sz w:val="18"/>
              </w:rPr>
              <w:t>Evidence Traceability</w:t>
            </w:r>
          </w:p>
        </w:tc>
        <w:tc>
          <w:tcPr>
            <w:tcW w:type="dxa" w:w="2160"/>
            <w:tcMar>
              <w:top w:w="100" w:type="dxa"/>
              <w:bottom w:w="100" w:type="dxa"/>
              <w:left w:w="120" w:type="dxa"/>
              <w:right w:w="120" w:type="dxa"/>
            </w:tcMar>
            <w:shd w:fill="F8FAFC"/>
          </w:tcPr>
          <w:p>
            <w:pPr>
              <w:spacing w:before="40" w:after="40"/>
            </w:pPr>
            <w:r>
              <w:rPr>
                <w:rFonts w:ascii="Arial" w:hAnsi="Arial"/>
                <w:color w:val="1E293B"/>
                <w:sz w:val="18"/>
              </w:rPr>
              <w:t>Inspect Finding find-001</w:t>
            </w:r>
          </w:p>
        </w:tc>
        <w:tc>
          <w:tcPr>
            <w:tcW w:type="dxa" w:w="1728"/>
            <w:tcMar>
              <w:top w:w="100" w:type="dxa"/>
              <w:bottom w:w="100" w:type="dxa"/>
              <w:left w:w="120" w:type="dxa"/>
              <w:right w:w="120" w:type="dxa"/>
            </w:tcMar>
            <w:shd w:fill="F8FAFC"/>
          </w:tcPr>
          <w:p>
            <w:pPr>
              <w:spacing w:before="40" w:after="40"/>
            </w:pPr>
            <w:r>
              <w:rPr>
                <w:rFonts w:ascii="Arial" w:hAnsi="Arial"/>
                <w:color w:val="1E293B"/>
                <w:sz w:val="18"/>
              </w:rPr>
              <w:t>Rendered Sec 3.B &amp; Clause 2 quotes with hashes</w:t>
            </w:r>
          </w:p>
        </w:tc>
        <w:tc>
          <w:tcPr>
            <w:tcW w:type="dxa" w:w="1008"/>
            <w:tcMar>
              <w:top w:w="100" w:type="dxa"/>
              <w:bottom w:w="100" w:type="dxa"/>
              <w:left w:w="120" w:type="dxa"/>
              <w:right w:w="120" w:type="dxa"/>
            </w:tcMar>
            <w:shd w:fill="F8FAFC"/>
          </w:tcPr>
          <w:p>
            <w:pPr>
              <w:spacing w:before="40" w:after="40"/>
            </w:pPr>
            <w:r>
              <w:rPr>
                <w:rFonts w:ascii="Arial" w:hAnsi="Arial"/>
                <w:color w:val="1E293B"/>
                <w:sz w:val="18"/>
              </w:rPr>
              <w:t>PASS</w:t>
            </w:r>
          </w:p>
        </w:tc>
      </w:tr>
      <w:tr>
        <w:trPr>
          <w:cantSplit/>
        </w:trPr>
        <w:tc>
          <w:tcPr>
            <w:tcW w:type="dxa" w:w="1296"/>
            <w:tcMar>
              <w:top w:w="100" w:type="dxa"/>
              <w:bottom w:w="100" w:type="dxa"/>
              <w:left w:w="120" w:type="dxa"/>
              <w:right w:w="120" w:type="dxa"/>
            </w:tcMar>
            <w:shd w:fill="FFFFFF"/>
          </w:tcPr>
          <w:p>
            <w:pPr>
              <w:spacing w:before="40" w:after="40"/>
            </w:pPr>
            <w:r>
              <w:rPr>
                <w:rFonts w:ascii="Arial" w:hAnsi="Arial"/>
                <w:color w:val="1E293B"/>
                <w:sz w:val="18"/>
              </w:rPr>
              <w:t>TC-04</w:t>
            </w:r>
          </w:p>
        </w:tc>
        <w:tc>
          <w:tcPr>
            <w:tcW w:type="dxa" w:w="2160"/>
            <w:tcMar>
              <w:top w:w="100" w:type="dxa"/>
              <w:bottom w:w="100" w:type="dxa"/>
              <w:left w:w="120" w:type="dxa"/>
              <w:right w:w="120" w:type="dxa"/>
            </w:tcMar>
            <w:shd w:fill="FFFFFF"/>
          </w:tcPr>
          <w:p>
            <w:pPr>
              <w:spacing w:before="40" w:after="40"/>
            </w:pPr>
            <w:r>
              <w:rPr>
                <w:rFonts w:ascii="Arial" w:hAnsi="Arial"/>
                <w:color w:val="1E293B"/>
                <w:sz w:val="18"/>
              </w:rPr>
              <w:t>Human Triage Action</w:t>
            </w:r>
          </w:p>
        </w:tc>
        <w:tc>
          <w:tcPr>
            <w:tcW w:type="dxa" w:w="2160"/>
            <w:tcMar>
              <w:top w:w="100" w:type="dxa"/>
              <w:bottom w:w="100" w:type="dxa"/>
              <w:left w:w="120" w:type="dxa"/>
              <w:right w:w="120" w:type="dxa"/>
            </w:tcMar>
            <w:shd w:fill="FFFFFF"/>
          </w:tcPr>
          <w:p>
            <w:pPr>
              <w:spacing w:before="40" w:after="40"/>
            </w:pPr>
            <w:r>
              <w:rPr>
                <w:rFonts w:ascii="Arial" w:hAnsi="Arial"/>
                <w:color w:val="1E293B"/>
                <w:sz w:val="18"/>
              </w:rPr>
              <w:t>Click 'Confirm Coverage Gap'</w:t>
            </w:r>
          </w:p>
        </w:tc>
        <w:tc>
          <w:tcPr>
            <w:tcW w:type="dxa" w:w="1728"/>
            <w:tcMar>
              <w:top w:w="100" w:type="dxa"/>
              <w:bottom w:w="100" w:type="dxa"/>
              <w:left w:w="120" w:type="dxa"/>
              <w:right w:w="120" w:type="dxa"/>
            </w:tcMar>
            <w:shd w:fill="FFFFFF"/>
          </w:tcPr>
          <w:p>
            <w:pPr>
              <w:spacing w:before="40" w:after="40"/>
            </w:pPr>
            <w:r>
              <w:rPr>
                <w:rFonts w:ascii="Arial" w:hAnsi="Arial"/>
                <w:color w:val="1E293B"/>
                <w:sz w:val="18"/>
              </w:rPr>
              <w:t>Status updated to CONFIRMED_GAP &amp; logged</w:t>
            </w:r>
          </w:p>
        </w:tc>
        <w:tc>
          <w:tcPr>
            <w:tcW w:type="dxa" w:w="1008"/>
            <w:tcMar>
              <w:top w:w="100" w:type="dxa"/>
              <w:bottom w:w="100" w:type="dxa"/>
              <w:left w:w="120" w:type="dxa"/>
              <w:right w:w="120" w:type="dxa"/>
            </w:tcMar>
            <w:shd w:fill="FFFFFF"/>
          </w:tcPr>
          <w:p>
            <w:pPr>
              <w:spacing w:before="40" w:after="40"/>
            </w:pPr>
            <w:r>
              <w:rPr>
                <w:rFonts w:ascii="Arial" w:hAnsi="Arial"/>
                <w:color w:val="1E293B"/>
                <w:sz w:val="18"/>
              </w:rPr>
              <w:t>PASS</w:t>
            </w:r>
          </w:p>
        </w:tc>
      </w:tr>
      <w:tr>
        <w:trPr>
          <w:cantSplit/>
        </w:trPr>
        <w:tc>
          <w:tcPr>
            <w:tcW w:type="dxa" w:w="1296"/>
            <w:tcMar>
              <w:top w:w="100" w:type="dxa"/>
              <w:bottom w:w="100" w:type="dxa"/>
              <w:left w:w="120" w:type="dxa"/>
              <w:right w:w="120" w:type="dxa"/>
            </w:tcMar>
            <w:shd w:fill="F8FAFC"/>
          </w:tcPr>
          <w:p>
            <w:pPr>
              <w:spacing w:before="40" w:after="40"/>
            </w:pPr>
            <w:r>
              <w:rPr>
                <w:rFonts w:ascii="Arial" w:hAnsi="Arial"/>
                <w:color w:val="1E293B"/>
                <w:sz w:val="18"/>
              </w:rPr>
              <w:t>TC-05</w:t>
            </w:r>
          </w:p>
        </w:tc>
        <w:tc>
          <w:tcPr>
            <w:tcW w:type="dxa" w:w="2160"/>
            <w:tcMar>
              <w:top w:w="100" w:type="dxa"/>
              <w:bottom w:w="100" w:type="dxa"/>
              <w:left w:w="120" w:type="dxa"/>
              <w:right w:w="120" w:type="dxa"/>
            </w:tcMar>
            <w:shd w:fill="F8FAFC"/>
          </w:tcPr>
          <w:p>
            <w:pPr>
              <w:spacing w:before="40" w:after="40"/>
            </w:pPr>
            <w:r>
              <w:rPr>
                <w:rFonts w:ascii="Arial" w:hAnsi="Arial"/>
                <w:color w:val="1E293B"/>
                <w:sz w:val="18"/>
              </w:rPr>
              <w:t>Audit Persistence</w:t>
            </w:r>
          </w:p>
        </w:tc>
        <w:tc>
          <w:tcPr>
            <w:tcW w:type="dxa" w:w="2160"/>
            <w:tcMar>
              <w:top w:w="100" w:type="dxa"/>
              <w:bottom w:w="100" w:type="dxa"/>
              <w:left w:w="120" w:type="dxa"/>
              <w:right w:w="120" w:type="dxa"/>
            </w:tcMar>
            <w:shd w:fill="F8FAFC"/>
          </w:tcPr>
          <w:p>
            <w:pPr>
              <w:spacing w:before="40" w:after="40"/>
            </w:pPr>
            <w:r>
              <w:rPr>
                <w:rFonts w:ascii="Arial" w:hAnsi="Arial"/>
                <w:color w:val="1E293B"/>
                <w:sz w:val="18"/>
              </w:rPr>
              <w:t>Enter underwriter notes</w:t>
            </w:r>
          </w:p>
        </w:tc>
        <w:tc>
          <w:tcPr>
            <w:tcW w:type="dxa" w:w="1728"/>
            <w:tcMar>
              <w:top w:w="100" w:type="dxa"/>
              <w:bottom w:w="100" w:type="dxa"/>
              <w:left w:w="120" w:type="dxa"/>
              <w:right w:w="120" w:type="dxa"/>
            </w:tcMar>
            <w:shd w:fill="F8FAFC"/>
          </w:tcPr>
          <w:p>
            <w:pPr>
              <w:spacing w:before="40" w:after="40"/>
            </w:pPr>
            <w:r>
              <w:rPr>
                <w:rFonts w:ascii="Arial" w:hAnsi="Arial"/>
                <w:color w:val="1E293B"/>
                <w:sz w:val="18"/>
              </w:rPr>
              <w:t>Notes persisted across page refresh</w:t>
            </w:r>
          </w:p>
        </w:tc>
        <w:tc>
          <w:tcPr>
            <w:tcW w:type="dxa" w:w="1008"/>
            <w:tcMar>
              <w:top w:w="100" w:type="dxa"/>
              <w:bottom w:w="100" w:type="dxa"/>
              <w:left w:w="120" w:type="dxa"/>
              <w:right w:w="120" w:type="dxa"/>
            </w:tcMar>
            <w:shd w:fill="F8FAFC"/>
          </w:tcPr>
          <w:p>
            <w:pPr>
              <w:spacing w:before="40" w:after="40"/>
            </w:pPr>
            <w:r>
              <w:rPr>
                <w:rFonts w:ascii="Arial" w:hAnsi="Arial"/>
                <w:color w:val="1E293B"/>
                <w:sz w:val="18"/>
              </w:rPr>
              <w:t>PASS</w:t>
            </w:r>
          </w:p>
        </w:tc>
      </w:tr>
      <w:tr>
        <w:trPr>
          <w:cantSplit/>
        </w:trPr>
        <w:tc>
          <w:tcPr>
            <w:tcW w:type="dxa" w:w="1296"/>
            <w:tcMar>
              <w:top w:w="100" w:type="dxa"/>
              <w:bottom w:w="100" w:type="dxa"/>
              <w:left w:w="120" w:type="dxa"/>
              <w:right w:w="120" w:type="dxa"/>
            </w:tcMar>
            <w:shd w:fill="FFFFFF"/>
          </w:tcPr>
          <w:p>
            <w:pPr>
              <w:spacing w:before="40" w:after="40"/>
            </w:pPr>
            <w:r>
              <w:rPr>
                <w:rFonts w:ascii="Arial" w:hAnsi="Arial"/>
                <w:color w:val="1E293B"/>
                <w:sz w:val="18"/>
              </w:rPr>
              <w:t>TC-06</w:t>
            </w:r>
          </w:p>
        </w:tc>
        <w:tc>
          <w:tcPr>
            <w:tcW w:type="dxa" w:w="2160"/>
            <w:tcMar>
              <w:top w:w="100" w:type="dxa"/>
              <w:bottom w:w="100" w:type="dxa"/>
              <w:left w:w="120" w:type="dxa"/>
              <w:right w:w="120" w:type="dxa"/>
            </w:tcMar>
            <w:shd w:fill="FFFFFF"/>
          </w:tcPr>
          <w:p>
            <w:pPr>
              <w:spacing w:before="40" w:after="40"/>
            </w:pPr>
            <w:r>
              <w:rPr>
                <w:rFonts w:ascii="Arial" w:hAnsi="Arial"/>
                <w:color w:val="1E293B"/>
                <w:sz w:val="18"/>
              </w:rPr>
              <w:t>End-to-End Simulation</w:t>
            </w:r>
          </w:p>
        </w:tc>
        <w:tc>
          <w:tcPr>
            <w:tcW w:type="dxa" w:w="2160"/>
            <w:tcMar>
              <w:top w:w="100" w:type="dxa"/>
              <w:bottom w:w="100" w:type="dxa"/>
              <w:left w:w="120" w:type="dxa"/>
              <w:right w:w="120" w:type="dxa"/>
            </w:tcMar>
            <w:shd w:fill="FFFFFF"/>
          </w:tcPr>
          <w:p>
            <w:pPr>
              <w:spacing w:before="40" w:after="40"/>
            </w:pPr>
            <w:r>
              <w:rPr>
                <w:rFonts w:ascii="Arial" w:hAnsi="Arial"/>
                <w:color w:val="1E293B"/>
                <w:sz w:val="18"/>
              </w:rPr>
              <w:t>Click 'Run Reconciliation Demo'</w:t>
            </w:r>
          </w:p>
        </w:tc>
        <w:tc>
          <w:tcPr>
            <w:tcW w:type="dxa" w:w="1728"/>
            <w:tcMar>
              <w:top w:w="100" w:type="dxa"/>
              <w:bottom w:w="100" w:type="dxa"/>
              <w:left w:w="120" w:type="dxa"/>
              <w:right w:w="120" w:type="dxa"/>
            </w:tcMar>
            <w:shd w:fill="FFFFFF"/>
          </w:tcPr>
          <w:p>
            <w:pPr>
              <w:spacing w:before="40" w:after="40"/>
            </w:pPr>
            <w:r>
              <w:rPr>
                <w:rFonts w:ascii="Arial" w:hAnsi="Arial"/>
                <w:color w:val="1E293B"/>
                <w:sz w:val="18"/>
              </w:rPr>
              <w:t>Sequentially revealed 8 stages in 2.4s</w:t>
            </w:r>
          </w:p>
        </w:tc>
        <w:tc>
          <w:tcPr>
            <w:tcW w:type="dxa" w:w="1008"/>
            <w:tcMar>
              <w:top w:w="100" w:type="dxa"/>
              <w:bottom w:w="100" w:type="dxa"/>
              <w:left w:w="120" w:type="dxa"/>
              <w:right w:w="120" w:type="dxa"/>
            </w:tcMar>
            <w:shd w:fill="FFFFFF"/>
          </w:tcPr>
          <w:p>
            <w:pPr>
              <w:spacing w:before="40" w:after="40"/>
            </w:pPr>
            <w:r>
              <w:rPr>
                <w:rFonts w:ascii="Arial" w:hAnsi="Arial"/>
                <w:color w:val="1E293B"/>
                <w:sz w:val="18"/>
              </w:rPr>
              <w:t>PASS</w:t>
            </w:r>
          </w:p>
        </w:tc>
      </w:tr>
    </w:tbl>
    <w:p>
      <w:pPr>
        <w:spacing w:line="300" w:lineRule="auto" w:after="200"/>
        <w:jc w:val="both"/>
      </w:pPr>
      <w:r>
        <w:rPr>
          <w:rFonts w:ascii="Arial" w:hAnsi="Arial"/>
          <w:color w:val="1E293B"/>
          <w:sz w:val="21"/>
        </w:rPr>
        <w:t>Table 1: Test Case Verification Ledger on Live Production Deployment.</w:t>
      </w:r>
    </w:p>
    <w:p>
      <w:pPr>
        <w:pStyle w:val="Heading2"/>
        <w:keepNext/>
        <w:spacing w:before="280" w:after="80"/>
      </w:pPr>
      <w:r>
        <w:rPr>
          <w:rFonts w:ascii="Arial" w:hAnsi="Arial"/>
          <w:b/>
          <w:color w:val="1E293B"/>
          <w:sz w:val="25"/>
        </w:rPr>
        <w:t>4.2 Enterprise Pilot Measurement Framework</w:t>
      </w:r>
    </w:p>
    <w:p>
      <w:pPr>
        <w:spacing w:line="300" w:lineRule="auto" w:after="120"/>
        <w:jc w:val="both"/>
      </w:pPr>
      <w:r>
        <w:rPr>
          <w:rFonts w:ascii="Arial" w:hAnsi="Arial"/>
          <w:color w:val="1E293B"/>
          <w:sz w:val="21"/>
        </w:rPr>
        <w:t>Rather than claiming unverifiable synthetic accuracy, Table 2 formalizes an objective measurement framework across six dimensions for future commercial pilots.</w:t>
      </w:r>
    </w:p>
    <w:tbl>
      <w:tblPr>
        <w:tblW w:type="auto" w:w="0"/>
        <w:jc w:val="center"/>
        <w:tblLook w:firstColumn="1" w:firstRow="1" w:lastColumn="0" w:lastRow="0" w:noHBand="0" w:noVBand="1" w:val="04A0"/>
      </w:tblPr>
      <w:tblGrid>
        <w:gridCol w:w="3264"/>
        <w:gridCol w:w="3264"/>
        <w:gridCol w:w="3264"/>
      </w:tblGrid>
      <w:tr>
        <w:trPr>
          <w:cantSplit/>
          <w:tblHeader/>
        </w:trPr>
        <w:tc>
          <w:tcPr>
            <w:tcW w:type="dxa" w:w="2592"/>
            <w:tcMar>
              <w:top w:w="100" w:type="dxa"/>
              <w:bottom w:w="100" w:type="dxa"/>
              <w:left w:w="120" w:type="dxa"/>
              <w:right w:w="120" w:type="dxa"/>
            </w:tcMar>
            <w:shd w:fill="0F172A"/>
          </w:tcPr>
          <w:p>
            <w:pPr>
              <w:spacing w:before="40" w:after="40"/>
              <w:jc w:val="center"/>
            </w:pPr>
            <w:r>
              <w:rPr>
                <w:rFonts w:ascii="Arial" w:hAnsi="Arial"/>
                <w:b/>
                <w:color w:val="FFFFFF"/>
                <w:sz w:val="19"/>
              </w:rPr>
              <w:t>Evaluation Dimension</w:t>
            </w:r>
          </w:p>
        </w:tc>
        <w:tc>
          <w:tcPr>
            <w:tcW w:type="dxa" w:w="1728"/>
            <w:tcMar>
              <w:top w:w="100" w:type="dxa"/>
              <w:bottom w:w="100" w:type="dxa"/>
              <w:left w:w="120" w:type="dxa"/>
              <w:right w:w="120" w:type="dxa"/>
            </w:tcMar>
            <w:shd w:fill="0F172A"/>
          </w:tcPr>
          <w:p>
            <w:pPr>
              <w:spacing w:before="40" w:after="40"/>
              <w:jc w:val="center"/>
            </w:pPr>
            <w:r>
              <w:rPr>
                <w:rFonts w:ascii="Arial" w:hAnsi="Arial"/>
                <w:b/>
                <w:color w:val="FFFFFF"/>
                <w:sz w:val="19"/>
              </w:rPr>
              <w:t>Target Benchmark</w:t>
            </w:r>
          </w:p>
        </w:tc>
        <w:tc>
          <w:tcPr>
            <w:tcW w:type="dxa" w:w="4032"/>
            <w:tcMar>
              <w:top w:w="100" w:type="dxa"/>
              <w:bottom w:w="100" w:type="dxa"/>
              <w:left w:w="120" w:type="dxa"/>
              <w:right w:w="120" w:type="dxa"/>
            </w:tcMar>
            <w:shd w:fill="0F172A"/>
          </w:tcPr>
          <w:p>
            <w:pPr>
              <w:spacing w:before="40" w:after="40"/>
              <w:jc w:val="center"/>
            </w:pPr>
            <w:r>
              <w:rPr>
                <w:rFonts w:ascii="Arial" w:hAnsi="Arial"/>
                <w:b/>
                <w:color w:val="FFFFFF"/>
                <w:sz w:val="19"/>
              </w:rPr>
              <w:t>Measurement Methodology</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1E293B"/>
                <w:sz w:val="18"/>
              </w:rPr>
              <w:t>Detection Precision &amp; Recall</w:t>
            </w:r>
          </w:p>
        </w:tc>
        <w:tc>
          <w:tcPr>
            <w:tcW w:type="dxa" w:w="1728"/>
            <w:tcMar>
              <w:top w:w="100" w:type="dxa"/>
              <w:bottom w:w="100" w:type="dxa"/>
              <w:left w:w="120" w:type="dxa"/>
              <w:right w:w="120" w:type="dxa"/>
            </w:tcMar>
            <w:shd w:fill="F8FAFC"/>
          </w:tcPr>
          <w:p>
            <w:pPr>
              <w:spacing w:before="40" w:after="40"/>
            </w:pPr>
            <w:r>
              <w:rPr>
                <w:rFonts w:ascii="Arial" w:hAnsi="Arial"/>
                <w:color w:val="1E293B"/>
                <w:sz w:val="18"/>
              </w:rPr>
              <w:t>&gt;= 96%</w:t>
            </w:r>
          </w:p>
        </w:tc>
        <w:tc>
          <w:tcPr>
            <w:tcW w:type="dxa" w:w="4032"/>
            <w:tcMar>
              <w:top w:w="100" w:type="dxa"/>
              <w:bottom w:w="100" w:type="dxa"/>
              <w:left w:w="120" w:type="dxa"/>
              <w:right w:w="120" w:type="dxa"/>
            </w:tcMar>
            <w:shd w:fill="F8FAFC"/>
          </w:tcPr>
          <w:p>
            <w:pPr>
              <w:spacing w:before="40" w:after="40"/>
            </w:pPr>
            <w:r>
              <w:rPr>
                <w:rFonts w:ascii="Arial" w:hAnsi="Arial"/>
                <w:color w:val="1E293B"/>
                <w:sz w:val="18"/>
              </w:rPr>
              <w:t>Benchmarked against senior coverage counsel gold-standard audits.</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1E293B"/>
                <w:sz w:val="18"/>
              </w:rPr>
              <w:t>False Positive Containment</w:t>
            </w:r>
          </w:p>
        </w:tc>
        <w:tc>
          <w:tcPr>
            <w:tcW w:type="dxa" w:w="1728"/>
            <w:tcMar>
              <w:top w:w="100" w:type="dxa"/>
              <w:bottom w:w="100" w:type="dxa"/>
              <w:left w:w="120" w:type="dxa"/>
              <w:right w:w="120" w:type="dxa"/>
            </w:tcMar>
            <w:shd w:fill="FFFFFF"/>
          </w:tcPr>
          <w:p>
            <w:pPr>
              <w:spacing w:before="40" w:after="40"/>
            </w:pPr>
            <w:r>
              <w:rPr>
                <w:rFonts w:ascii="Arial" w:hAnsi="Arial"/>
                <w:color w:val="1E293B"/>
                <w:sz w:val="18"/>
              </w:rPr>
              <w:t>&lt; 5%</w:t>
            </w:r>
          </w:p>
        </w:tc>
        <w:tc>
          <w:tcPr>
            <w:tcW w:type="dxa" w:w="4032"/>
            <w:tcMar>
              <w:top w:w="100" w:type="dxa"/>
              <w:bottom w:w="100" w:type="dxa"/>
              <w:left w:w="120" w:type="dxa"/>
              <w:right w:w="120" w:type="dxa"/>
            </w:tcMar>
            <w:shd w:fill="FFFFFF"/>
          </w:tcPr>
          <w:p>
            <w:pPr>
              <w:spacing w:before="40" w:after="40"/>
            </w:pPr>
            <w:r>
              <w:rPr>
                <w:rFonts w:ascii="Arial" w:hAnsi="Arial"/>
                <w:color w:val="1E293B"/>
                <w:sz w:val="18"/>
              </w:rPr>
              <w:t>Rate of erroneous flags on standard ISO wording variations.</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1E293B"/>
                <w:sz w:val="18"/>
              </w:rPr>
              <w:t>Evidence Link Accuracy</w:t>
            </w:r>
          </w:p>
        </w:tc>
        <w:tc>
          <w:tcPr>
            <w:tcW w:type="dxa" w:w="1728"/>
            <w:tcMar>
              <w:top w:w="100" w:type="dxa"/>
              <w:bottom w:w="100" w:type="dxa"/>
              <w:left w:w="120" w:type="dxa"/>
              <w:right w:w="120" w:type="dxa"/>
            </w:tcMar>
            <w:shd w:fill="F8FAFC"/>
          </w:tcPr>
          <w:p>
            <w:pPr>
              <w:spacing w:before="40" w:after="40"/>
            </w:pPr>
            <w:r>
              <w:rPr>
                <w:rFonts w:ascii="Arial" w:hAnsi="Arial"/>
                <w:color w:val="1E293B"/>
                <w:sz w:val="18"/>
              </w:rPr>
              <w:t>100%</w:t>
            </w:r>
          </w:p>
        </w:tc>
        <w:tc>
          <w:tcPr>
            <w:tcW w:type="dxa" w:w="4032"/>
            <w:tcMar>
              <w:top w:w="100" w:type="dxa"/>
              <w:bottom w:w="100" w:type="dxa"/>
              <w:left w:w="120" w:type="dxa"/>
              <w:right w:w="120" w:type="dxa"/>
            </w:tcMar>
            <w:shd w:fill="F8FAFC"/>
          </w:tcPr>
          <w:p>
            <w:pPr>
              <w:spacing w:before="40" w:after="40"/>
            </w:pPr>
            <w:r>
              <w:rPr>
                <w:rFonts w:ascii="Arial" w:hAnsi="Arial"/>
                <w:color w:val="1E293B"/>
                <w:sz w:val="18"/>
              </w:rPr>
              <w:t>Percentage of findings anchored to exact page/line coordinates.</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1E293B"/>
                <w:sz w:val="18"/>
              </w:rPr>
              <w:t>Underwriter Time-to-Bind</w:t>
            </w:r>
          </w:p>
        </w:tc>
        <w:tc>
          <w:tcPr>
            <w:tcW w:type="dxa" w:w="1728"/>
            <w:tcMar>
              <w:top w:w="100" w:type="dxa"/>
              <w:bottom w:w="100" w:type="dxa"/>
              <w:left w:w="120" w:type="dxa"/>
              <w:right w:w="120" w:type="dxa"/>
            </w:tcMar>
            <w:shd w:fill="FFFFFF"/>
          </w:tcPr>
          <w:p>
            <w:pPr>
              <w:spacing w:before="40" w:after="40"/>
            </w:pPr>
            <w:r>
              <w:rPr>
                <w:rFonts w:ascii="Arial" w:hAnsi="Arial"/>
                <w:color w:val="1E293B"/>
                <w:sz w:val="18"/>
              </w:rPr>
              <w:t>-70%</w:t>
            </w:r>
          </w:p>
        </w:tc>
        <w:tc>
          <w:tcPr>
            <w:tcW w:type="dxa" w:w="4032"/>
            <w:tcMar>
              <w:top w:w="100" w:type="dxa"/>
              <w:bottom w:w="100" w:type="dxa"/>
              <w:left w:w="120" w:type="dxa"/>
              <w:right w:w="120" w:type="dxa"/>
            </w:tcMar>
            <w:shd w:fill="FFFFFF"/>
          </w:tcPr>
          <w:p>
            <w:pPr>
              <w:spacing w:before="40" w:after="40"/>
            </w:pPr>
            <w:r>
              <w:rPr>
                <w:rFonts w:ascii="Arial" w:hAnsi="Arial"/>
                <w:color w:val="1E293B"/>
                <w:sz w:val="18"/>
              </w:rPr>
              <w:t>Reduction in manual contract checking hours (4 hrs -&gt; 45 mins).</w:t>
            </w:r>
          </w:p>
        </w:tc>
      </w:tr>
      <w:tr>
        <w:trPr>
          <w:cantSplit/>
        </w:trPr>
        <w:tc>
          <w:tcPr>
            <w:tcW w:type="dxa" w:w="2592"/>
            <w:tcMar>
              <w:top w:w="100" w:type="dxa"/>
              <w:bottom w:w="100" w:type="dxa"/>
              <w:left w:w="120" w:type="dxa"/>
              <w:right w:w="120" w:type="dxa"/>
            </w:tcMar>
            <w:shd w:fill="F8FAFC"/>
          </w:tcPr>
          <w:p>
            <w:pPr>
              <w:spacing w:before="40" w:after="40"/>
            </w:pPr>
            <w:r>
              <w:rPr>
                <w:rFonts w:ascii="Arial" w:hAnsi="Arial"/>
                <w:color w:val="1E293B"/>
                <w:sz w:val="18"/>
              </w:rPr>
              <w:t>Reviewer Concordance Rate</w:t>
            </w:r>
          </w:p>
        </w:tc>
        <w:tc>
          <w:tcPr>
            <w:tcW w:type="dxa" w:w="1728"/>
            <w:tcMar>
              <w:top w:w="100" w:type="dxa"/>
              <w:bottom w:w="100" w:type="dxa"/>
              <w:left w:w="120" w:type="dxa"/>
              <w:right w:w="120" w:type="dxa"/>
            </w:tcMar>
            <w:shd w:fill="F8FAFC"/>
          </w:tcPr>
          <w:p>
            <w:pPr>
              <w:spacing w:before="40" w:after="40"/>
            </w:pPr>
            <w:r>
              <w:rPr>
                <w:rFonts w:ascii="Arial" w:hAnsi="Arial"/>
                <w:color w:val="1E293B"/>
                <w:sz w:val="18"/>
              </w:rPr>
              <w:t>&gt;= 90%</w:t>
            </w:r>
          </w:p>
        </w:tc>
        <w:tc>
          <w:tcPr>
            <w:tcW w:type="dxa" w:w="4032"/>
            <w:tcMar>
              <w:top w:w="100" w:type="dxa"/>
              <w:bottom w:w="100" w:type="dxa"/>
              <w:left w:w="120" w:type="dxa"/>
              <w:right w:w="120" w:type="dxa"/>
            </w:tcMar>
            <w:shd w:fill="F8FAFC"/>
          </w:tcPr>
          <w:p>
            <w:pPr>
              <w:spacing w:before="40" w:after="40"/>
            </w:pPr>
            <w:r>
              <w:rPr>
                <w:rFonts w:ascii="Arial" w:hAnsi="Arial"/>
                <w:color w:val="1E293B"/>
                <w:sz w:val="18"/>
              </w:rPr>
              <w:t>Inter-annotator agreement between underwriters on remediation.</w:t>
            </w:r>
          </w:p>
        </w:tc>
      </w:tr>
      <w:tr>
        <w:trPr>
          <w:cantSplit/>
        </w:trPr>
        <w:tc>
          <w:tcPr>
            <w:tcW w:type="dxa" w:w="2592"/>
            <w:tcMar>
              <w:top w:w="100" w:type="dxa"/>
              <w:bottom w:w="100" w:type="dxa"/>
              <w:left w:w="120" w:type="dxa"/>
              <w:right w:w="120" w:type="dxa"/>
            </w:tcMar>
            <w:shd w:fill="FFFFFF"/>
          </w:tcPr>
          <w:p>
            <w:pPr>
              <w:spacing w:before="40" w:after="40"/>
            </w:pPr>
            <w:r>
              <w:rPr>
                <w:rFonts w:ascii="Arial" w:hAnsi="Arial"/>
                <w:color w:val="1E293B"/>
                <w:sz w:val="18"/>
              </w:rPr>
              <w:t>Audit Trail Completeness</w:t>
            </w:r>
          </w:p>
        </w:tc>
        <w:tc>
          <w:tcPr>
            <w:tcW w:type="dxa" w:w="1728"/>
            <w:tcMar>
              <w:top w:w="100" w:type="dxa"/>
              <w:bottom w:w="100" w:type="dxa"/>
              <w:left w:w="120" w:type="dxa"/>
              <w:right w:w="120" w:type="dxa"/>
            </w:tcMar>
            <w:shd w:fill="FFFFFF"/>
          </w:tcPr>
          <w:p>
            <w:pPr>
              <w:spacing w:before="40" w:after="40"/>
            </w:pPr>
            <w:r>
              <w:rPr>
                <w:rFonts w:ascii="Arial" w:hAnsi="Arial"/>
                <w:color w:val="1E293B"/>
                <w:sz w:val="18"/>
              </w:rPr>
              <w:t>100%</w:t>
            </w:r>
          </w:p>
        </w:tc>
        <w:tc>
          <w:tcPr>
            <w:tcW w:type="dxa" w:w="4032"/>
            <w:tcMar>
              <w:top w:w="100" w:type="dxa"/>
              <w:bottom w:w="100" w:type="dxa"/>
              <w:left w:w="120" w:type="dxa"/>
              <w:right w:w="120" w:type="dxa"/>
            </w:tcMar>
            <w:shd w:fill="FFFFFF"/>
          </w:tcPr>
          <w:p>
            <w:pPr>
              <w:spacing w:before="40" w:after="40"/>
            </w:pPr>
            <w:r>
              <w:rPr>
                <w:rFonts w:ascii="Arial" w:hAnsi="Arial"/>
                <w:color w:val="1E293B"/>
                <w:sz w:val="18"/>
              </w:rPr>
              <w:t>Cryptographic event logging for all status transitions.</w:t>
            </w:r>
          </w:p>
        </w:tc>
      </w:tr>
    </w:tbl>
    <w:p>
      <w:pPr>
        <w:spacing w:line="300" w:lineRule="auto" w:after="240"/>
        <w:jc w:val="both"/>
      </w:pPr>
      <w:r>
        <w:rPr>
          <w:rFonts w:ascii="Arial" w:hAnsi="Arial"/>
          <w:color w:val="1E293B"/>
          <w:sz w:val="21"/>
        </w:rPr>
        <w:t>Table 2: Pilot Evaluation Framework for Production Insurance Operations.</w:t>
      </w:r>
    </w:p>
    <w:p>
      <w:pPr>
        <w:pStyle w:val="Heading2"/>
        <w:keepNext/>
        <w:spacing w:before="280" w:after="80"/>
      </w:pPr>
      <w:r>
        <w:rPr>
          <w:rFonts w:ascii="Arial" w:hAnsi="Arial"/>
          <w:b/>
          <w:color w:val="1E293B"/>
          <w:sz w:val="25"/>
        </w:rPr>
        <w:t>4.3 Live Application Interface Walkthrough</w:t>
      </w:r>
    </w:p>
    <w:p>
      <w:pPr>
        <w:spacing w:line="300" w:lineRule="auto" w:after="120"/>
        <w:jc w:val="both"/>
      </w:pPr>
      <w:r>
        <w:rPr>
          <w:rFonts w:ascii="Arial" w:hAnsi="Arial"/>
          <w:color w:val="1E293B"/>
          <w:sz w:val="21"/>
        </w:rPr>
        <w:t>The public application features four primary interactive workspaces:</w:t>
      </w:r>
    </w:p>
    <w:p>
      <w:pPr>
        <w:pStyle w:val="ListBullet"/>
        <w:spacing w:line="288" w:lineRule="auto" w:after="60"/>
        <w:jc w:val="both"/>
      </w:pPr>
      <w:r>
        <w:rPr>
          <w:rFonts w:ascii="Arial" w:hAnsi="Arial"/>
          <w:b/>
          <w:color w:val="0F172A"/>
          <w:sz w:val="20"/>
        </w:rPr>
        <w:t xml:space="preserve">1. Cinematic Hero &amp; Flow Visualizer: </w:t>
      </w:r>
      <w:r>
        <w:rPr>
          <w:rFonts w:ascii="Arial" w:hAnsi="Arial"/>
          <w:color w:val="1E293B"/>
          <w:sz w:val="20"/>
        </w:rPr>
        <w:t>Animates broker quote, master policy, and endorsement contracts streaming into the reconciliation engine.</w:t>
      </w:r>
    </w:p>
    <w:p>
      <w:pPr>
        <w:pStyle w:val="ListBullet"/>
        <w:spacing w:line="288" w:lineRule="auto" w:after="60"/>
        <w:jc w:val="both"/>
      </w:pPr>
      <w:r>
        <w:rPr>
          <w:rFonts w:ascii="Arial" w:hAnsi="Arial"/>
          <w:b/>
          <w:color w:val="0F172A"/>
          <w:sz w:val="20"/>
        </w:rPr>
        <w:t xml:space="preserve">2. Side-by-Side Wording Diff: </w:t>
      </w:r>
      <w:r>
        <w:rPr>
          <w:rFonts w:ascii="Arial" w:hAnsi="Arial"/>
          <w:color w:val="1E293B"/>
          <w:sz w:val="20"/>
        </w:rPr>
        <w:t>Highlights promised affirmative text in cyan alongside restrictive endorsement clauses in rose, displaying the four-part structured analysis.</w:t>
      </w:r>
    </w:p>
    <w:p>
      <w:pPr>
        <w:pStyle w:val="ListBullet"/>
        <w:spacing w:line="288" w:lineRule="auto" w:after="60"/>
        <w:jc w:val="both"/>
      </w:pPr>
      <w:r>
        <w:rPr>
          <w:rFonts w:ascii="Arial" w:hAnsi="Arial"/>
          <w:b/>
          <w:color w:val="0F172A"/>
          <w:sz w:val="20"/>
        </w:rPr>
        <w:t xml:space="preserve">3. Evidence Traceability Inspector: </w:t>
      </w:r>
      <w:r>
        <w:rPr>
          <w:rFonts w:ascii="Arial" w:hAnsi="Arial"/>
          <w:color w:val="1E293B"/>
          <w:sz w:val="20"/>
        </w:rPr>
        <w:t>Exposes source document references, version metadata, SHA-256 hashes, and the 5-step Bounded Agent chronology trace.</w:t>
      </w:r>
    </w:p>
    <w:p>
      <w:pPr>
        <w:pStyle w:val="ListBullet"/>
        <w:spacing w:line="288" w:lineRule="auto" w:after="60"/>
        <w:jc w:val="both"/>
      </w:pPr>
      <w:r>
        <w:rPr>
          <w:rFonts w:ascii="Arial" w:hAnsi="Arial"/>
          <w:b/>
          <w:color w:val="0F172A"/>
          <w:sz w:val="20"/>
        </w:rPr>
        <w:t xml:space="preserve">4. Review Console &amp; Audit Ledger: </w:t>
      </w:r>
      <w:r>
        <w:rPr>
          <w:rFonts w:ascii="Arial" w:hAnsi="Arial"/>
          <w:color w:val="1E293B"/>
          <w:sz w:val="20"/>
        </w:rPr>
        <w:t>Provides working disposition buttons (Confirm, Dismiss, Investigate, Resolve), note recording, and an append-only event stream.</w:t>
      </w:r>
    </w:p>
    <w:p>
      <w:pPr>
        <w:pStyle w:val="Heading1"/>
        <w:keepNext/>
        <w:spacing w:before="280" w:after="80"/>
      </w:pPr>
      <w:r>
        <w:rPr>
          <w:rFonts w:ascii="Arial" w:hAnsi="Arial"/>
          <w:b/>
          <w:color w:val="0E7490"/>
          <w:sz w:val="30"/>
        </w:rPr>
        <w:t>5. Conclusions and Future Work</w:t>
      </w:r>
    </w:p>
    <w:p>
      <w:pPr>
        <w:spacing w:line="300" w:lineRule="auto" w:after="120"/>
        <w:jc w:val="both"/>
      </w:pPr>
      <w:r>
        <w:rPr>
          <w:rFonts w:ascii="Arial" w:hAnsi="Arial"/>
          <w:color w:val="1E293B"/>
          <w:sz w:val="21"/>
        </w:rPr>
        <w:t>Coverage Truth Layer addresses a critical operational void in commercial insurance. By demonstrating that a hybrid pipeline—combining deterministic rules for numerical precision with bounded agents for legal chronology and human oversight for final decisions—can eliminate silent coverage contradictions, CTL establishes a dependable, audit-ready trust layer.</w:t>
      </w:r>
    </w:p>
    <w:p>
      <w:pPr>
        <w:pStyle w:val="Heading2"/>
        <w:keepNext/>
        <w:spacing w:before="280" w:after="80"/>
      </w:pPr>
      <w:r>
        <w:rPr>
          <w:rFonts w:ascii="Arial" w:hAnsi="Arial"/>
          <w:b/>
          <w:color w:val="1E293B"/>
          <w:sz w:val="25"/>
        </w:rPr>
        <w:t>5.1 Confirmed Prototype Limitations</w:t>
      </w:r>
    </w:p>
    <w:p>
      <w:pPr>
        <w:pStyle w:val="ListBullet"/>
        <w:spacing w:line="288" w:lineRule="auto" w:after="60"/>
        <w:jc w:val="both"/>
      </w:pPr>
      <w:r>
        <w:rPr>
          <w:rFonts w:ascii="Arial" w:hAnsi="Arial"/>
          <w:b/>
          <w:color w:val="0F172A"/>
          <w:sz w:val="20"/>
        </w:rPr>
        <w:t xml:space="preserve">1. Seeded Fictional Corpus: </w:t>
      </w:r>
      <w:r>
        <w:rPr>
          <w:rFonts w:ascii="Arial" w:hAnsi="Arial"/>
          <w:color w:val="1E293B"/>
          <w:sz w:val="20"/>
        </w:rPr>
        <w:t>The live prototype operates on the verified Apex Global Logistics dataset to enable zero-configuration demonstration.</w:t>
      </w:r>
    </w:p>
    <w:p>
      <w:pPr>
        <w:pStyle w:val="ListBullet"/>
        <w:spacing w:line="288" w:lineRule="auto" w:after="60"/>
        <w:jc w:val="both"/>
      </w:pPr>
      <w:r>
        <w:rPr>
          <w:rFonts w:ascii="Arial" w:hAnsi="Arial"/>
          <w:b/>
          <w:color w:val="0F172A"/>
          <w:sz w:val="20"/>
        </w:rPr>
        <w:t xml:space="preserve">2. Client-Side Simulation: </w:t>
      </w:r>
      <w:r>
        <w:rPr>
          <w:rFonts w:ascii="Arial" w:hAnsi="Arial"/>
          <w:color w:val="1E293B"/>
          <w:sz w:val="20"/>
        </w:rPr>
        <w:t>The 8-stage pipeline is executed as an interactive client-side workflow without requiring external paid LLM API keys.</w:t>
      </w:r>
    </w:p>
    <w:p>
      <w:pPr>
        <w:pStyle w:val="ListBullet"/>
        <w:spacing w:line="288" w:lineRule="auto" w:after="60"/>
        <w:jc w:val="both"/>
      </w:pPr>
      <w:r>
        <w:rPr>
          <w:rFonts w:ascii="Arial" w:hAnsi="Arial"/>
          <w:b/>
          <w:color w:val="0F172A"/>
          <w:sz w:val="20"/>
        </w:rPr>
        <w:t xml:space="preserve">3. MVP Scope Boundary: </w:t>
      </w:r>
      <w:r>
        <w:rPr>
          <w:rFonts w:ascii="Arial" w:hAnsi="Arial"/>
          <w:color w:val="1E293B"/>
          <w:sz w:val="20"/>
        </w:rPr>
        <w:t>Strictly confined to Promised vs. Documented contracts; claims FNOL adjudication remains future scope.</w:t>
      </w:r>
    </w:p>
    <w:p>
      <w:pPr>
        <w:pStyle w:val="Heading2"/>
        <w:keepNext/>
        <w:spacing w:before="280" w:after="80"/>
      </w:pPr>
      <w:r>
        <w:rPr>
          <w:rFonts w:ascii="Arial" w:hAnsi="Arial"/>
          <w:b/>
          <w:color w:val="1E293B"/>
          <w:sz w:val="25"/>
        </w:rPr>
        <w:t>5.2 Roadmap &amp; Future Work</w:t>
      </w:r>
    </w:p>
    <w:p>
      <w:pPr>
        <w:pStyle w:val="ListBullet"/>
        <w:spacing w:line="288" w:lineRule="auto" w:after="60"/>
        <w:jc w:val="both"/>
      </w:pPr>
      <w:r>
        <w:rPr>
          <w:rFonts w:ascii="Arial" w:hAnsi="Arial"/>
          <w:b/>
          <w:color w:val="0F172A"/>
          <w:sz w:val="20"/>
        </w:rPr>
        <w:t xml:space="preserve">Phase 1 (Current MVP): </w:t>
      </w:r>
      <w:r>
        <w:rPr>
          <w:rFonts w:ascii="Arial" w:hAnsi="Arial"/>
          <w:color w:val="1E293B"/>
          <w:sz w:val="20"/>
        </w:rPr>
        <w:t>Document comparison, character-level citations, deterministic limits validation, bounded chronology agent, and human review console.</w:t>
      </w:r>
    </w:p>
    <w:p>
      <w:pPr>
        <w:pStyle w:val="ListBullet"/>
        <w:spacing w:line="288" w:lineRule="auto" w:after="60"/>
        <w:jc w:val="both"/>
      </w:pPr>
      <w:r>
        <w:rPr>
          <w:rFonts w:ascii="Arial" w:hAnsi="Arial"/>
          <w:b/>
          <w:color w:val="0F172A"/>
          <w:sz w:val="20"/>
        </w:rPr>
        <w:t xml:space="preserve">Phase 2 (Enterprise Pilot): </w:t>
      </w:r>
      <w:r>
        <w:rPr>
          <w:rFonts w:ascii="Arial" w:hAnsi="Arial"/>
          <w:color w:val="1E293B"/>
          <w:sz w:val="20"/>
        </w:rPr>
        <w:t>Bi-directional connectors for Applied Epic and Guidewire, production OCR pipelines, and shared underwriter-broker resolution rooms.</w:t>
      </w:r>
    </w:p>
    <w:p>
      <w:pPr>
        <w:pStyle w:val="ListBullet"/>
        <w:spacing w:line="288" w:lineRule="auto" w:after="60"/>
        <w:jc w:val="both"/>
      </w:pPr>
      <w:r>
        <w:rPr>
          <w:rFonts w:ascii="Arial" w:hAnsi="Arial"/>
          <w:b/>
          <w:color w:val="0F172A"/>
          <w:sz w:val="20"/>
        </w:rPr>
        <w:t xml:space="preserve">Phase 3 (Extended Ecosystem): </w:t>
      </w:r>
      <w:r>
        <w:rPr>
          <w:rFonts w:ascii="Arial" w:hAnsi="Arial"/>
          <w:color w:val="1E293B"/>
          <w:sz w:val="20"/>
        </w:rPr>
        <w:t>Reconciling First Notice of Loss (FNOL) claims and reservation-of-rights settlement payouts against original pre-loss promises.</w:t>
      </w:r>
    </w:p>
    <w:p>
      <w:pPr>
        <w:spacing w:before="320"/>
        <w:jc w:val="center"/>
      </w:pPr>
      <w:r>
        <w:rPr>
          <w:rFonts w:ascii="Arial" w:hAnsi="Arial"/>
          <w:i/>
          <w:color w:val="64748B"/>
          <w:sz w:val="18"/>
        </w:rPr>
        <w:t>Submission: Flarre AI Innovation Challenge 2026 | Author: Mekala Abhilash (CBIT)</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