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Times New Roman" w:hAnsi="Times New Roman"/>
          <w:b/>
          <w:color w:val="0F172A"/>
          <w:sz w:val="30"/>
        </w:rPr>
        <w:t>CHAITANYA BHARATHI INSTITUTE OF TECHNOLOGY (A)</w:t>
        <w:br/>
      </w:r>
      <w:r>
        <w:rPr>
          <w:rFonts w:ascii="Times New Roman" w:hAnsi="Times New Roman"/>
          <w:color w:val="475569"/>
          <w:sz w:val="21"/>
        </w:rPr>
        <w:t>Affiliated to Osmania University, Accredited by NAAC (A++), NBA</w:t>
        <w:br/>
        <w:t>Gandipet, Hyderabad, Telangana — 500075</w:t>
        <w:br/>
        <w:t>DEPARTMENT OF COMPUTER SCIENCE AND ENGINEERING</w:t>
        <w:br/>
      </w:r>
    </w:p>
    <w:p>
      <w:pPr>
        <w:spacing w:after="480"/>
      </w:pPr>
    </w:p>
    <w:p>
      <w:pPr>
        <w:spacing w:after="160"/>
        <w:jc w:val="center"/>
      </w:pPr>
      <w:r>
        <w:rPr>
          <w:rFonts w:ascii="Times New Roman" w:hAnsi="Times New Roman"/>
          <w:b/>
          <w:color w:val="0369A1"/>
          <w:sz w:val="44"/>
        </w:rPr>
        <w:t>COVERAGE TRUTH LAYER</w:t>
        <w:br/>
      </w:r>
      <w:r>
        <w:rPr>
          <w:rFonts w:ascii="Times New Roman" w:hAnsi="Times New Roman"/>
          <w:i/>
          <w:color w:val="64748B"/>
          <w:sz w:val="24"/>
        </w:rPr>
        <w:t>“Catch Coverage Contradictions Before They Become Denied Claims”</w:t>
        <w:br/>
      </w:r>
    </w:p>
    <w:p>
      <w:pPr>
        <w:spacing w:after="480"/>
      </w:pPr>
    </w:p>
    <w:p>
      <w:pPr>
        <w:spacing w:after="240"/>
        <w:jc w:val="center"/>
      </w:pPr>
      <w:r>
        <w:rPr>
          <w:rFonts w:ascii="Times New Roman" w:hAnsi="Times New Roman"/>
          <w:b/>
          <w:color w:val="0F172A"/>
          <w:sz w:val="22"/>
        </w:rPr>
        <w:t>A Major Project Report Submitted in Partial Fulfillment of the Requirements for</w:t>
        <w:br/>
        <w:t>the Award of the Degree of</w:t>
        <w:br/>
        <w:br/>
        <w:t>BACHELOR OF TECHNOLOGY</w:t>
        <w:br/>
        <w:t>in</w:t>
        <w:br/>
        <w:t>COMPUTER SCIENCE AND ENGINEERING</w:t>
        <w:br/>
      </w:r>
    </w:p>
    <w:p>
      <w:pPr>
        <w:spacing w:after="560"/>
      </w:pPr>
    </w:p>
    <w:tbl>
      <w:tblPr>
        <w:tblW w:type="auto" w:w="0"/>
        <w:jc w:val="center"/>
        <w:tblLook w:firstColumn="1" w:firstRow="1" w:lastColumn="0" w:lastRow="0" w:noHBand="0" w:noVBand="1" w:val="04A0"/>
      </w:tblPr>
      <w:tblGrid>
        <w:gridCol w:w="4514"/>
        <w:gridCol w:w="4514"/>
      </w:tblGrid>
      <w:tr>
        <w:tc>
          <w:tcPr>
            <w:tcW w:type="dxa" w:w="4514"/>
          </w:tcPr>
          <w:p>
            <w:pPr>
              <w:spacing w:line="288" w:lineRule="auto"/>
            </w:pPr>
            <w:r>
              <w:rPr>
                <w:rFonts w:ascii="Times New Roman" w:hAnsi="Times New Roman"/>
                <w:b/>
                <w:sz w:val="21"/>
              </w:rPr>
              <w:t>Submitted By:</w:t>
            </w:r>
          </w:p>
        </w:tc>
        <w:tc>
          <w:tcPr>
            <w:tcW w:type="dxa" w:w="4514"/>
          </w:tcPr>
          <w:p>
            <w:pPr>
              <w:spacing w:line="288" w:lineRule="auto"/>
            </w:pPr>
            <w:r>
              <w:rPr>
                <w:rFonts w:ascii="Times New Roman" w:hAnsi="Times New Roman"/>
                <w:b/>
                <w:sz w:val="21"/>
              </w:rPr>
              <w:t>Under the Guidance of:</w:t>
            </w:r>
          </w:p>
        </w:tc>
      </w:tr>
      <w:tr>
        <w:tc>
          <w:tcPr>
            <w:tcW w:type="dxa" w:w="4514"/>
          </w:tcPr>
          <w:p>
            <w:pPr>
              <w:spacing w:line="288" w:lineRule="auto"/>
            </w:pPr>
            <w:r>
              <w:rPr>
                <w:rFonts w:ascii="Times New Roman" w:hAnsi="Times New Roman"/>
                <w:sz w:val="21"/>
              </w:rPr>
              <w:t>MEKALA ABHILASH</w:t>
              <w:br/>
              <w:t>Roll No: [1601-21-733-XXX]</w:t>
              <w:br/>
              <w:t>Department of CSE, CBIT</w:t>
            </w:r>
          </w:p>
        </w:tc>
        <w:tc>
          <w:tcPr>
            <w:tcW w:type="dxa" w:w="4514"/>
          </w:tcPr>
          <w:p>
            <w:pPr>
              <w:spacing w:line="288" w:lineRule="auto"/>
            </w:pPr>
            <w:r>
              <w:rPr>
                <w:rFonts w:ascii="Times New Roman" w:hAnsi="Times New Roman"/>
                <w:sz w:val="21"/>
              </w:rPr>
              <w:t>[Project Supervisor / Internal Guide Name]</w:t>
              <w:br/>
              <w:t>[Designation &amp; Department]</w:t>
              <w:br/>
              <w:t>CBIT, Hyderabad</w:t>
            </w:r>
          </w:p>
        </w:tc>
      </w:tr>
    </w:tbl>
    <w:p>
      <w:pPr>
        <w:spacing w:after="720"/>
      </w:pPr>
    </w:p>
    <w:p>
      <w:pPr>
        <w:jc w:val="center"/>
      </w:pPr>
      <w:r>
        <w:rPr>
          <w:rFonts w:ascii="Times New Roman" w:hAnsi="Times New Roman"/>
          <w:b/>
          <w:sz w:val="22"/>
        </w:rPr>
        <w:t>Academic Year 2025 – 2026</w:t>
      </w:r>
    </w:p>
    <w:p>
      <w:r>
        <w:br w:type="page"/>
      </w:r>
    </w:p>
    <w:p>
      <w:pPr>
        <w:pStyle w:val="Heading1"/>
        <w:keepNext/>
        <w:spacing w:before="280" w:after="120"/>
        <w:jc w:val="center"/>
      </w:pPr>
      <w:r>
        <w:rPr>
          <w:rFonts w:ascii="Times New Roman" w:hAnsi="Times New Roman"/>
          <w:b/>
          <w:color w:val="0F172A"/>
          <w:sz w:val="32"/>
        </w:rPr>
        <w:t>CERTIFICATE</w:t>
      </w:r>
    </w:p>
    <w:p>
      <w:pPr>
        <w:spacing w:line="312" w:lineRule="auto" w:after="240"/>
        <w:jc w:val="both"/>
      </w:pPr>
    </w:p>
    <w:p>
      <w:pPr>
        <w:spacing w:line="312" w:lineRule="auto" w:after="120"/>
        <w:jc w:val="both"/>
      </w:pPr>
      <w:r>
        <w:rPr>
          <w:rFonts w:ascii="Times New Roman" w:hAnsi="Times New Roman"/>
          <w:color w:val="1E293B"/>
          <w:sz w:val="23"/>
        </w:rPr>
        <w:t>This is to certify that the project entitled “COVERAGE TRUTH LAYER: AN AI-POWERED INSURANCE DOCUMENT RECONCILIATION AND EVIDENCE-TRACEABILITY SYSTEM” is a bonafide work carried out by MEKALA ABHILASH (Roll No: [1601-21-733-XXX]) in partial fulfillment of the requirements for the award of Bachelor of Technology in Computer Science and Engineering by Chaitanya Bharathi Institute of Technology (Affiliated to Osmania University), Hyderabad, during the academic year 2025–2026.</w:t>
      </w:r>
    </w:p>
    <w:p>
      <w:pPr>
        <w:spacing w:line="312" w:lineRule="auto" w:after="120"/>
        <w:jc w:val="both"/>
      </w:pPr>
      <w:r>
        <w:rPr>
          <w:rFonts w:ascii="Times New Roman" w:hAnsi="Times New Roman"/>
          <w:color w:val="1E293B"/>
          <w:sz w:val="23"/>
        </w:rPr>
        <w:t>The results embodied in this report have been verified and have not been submitted to any other University or Institution for the award of any degree or diploma.</w:t>
      </w:r>
    </w:p>
    <w:p>
      <w:pPr>
        <w:spacing w:line="312" w:lineRule="auto" w:after="960"/>
        <w:jc w:val="both"/>
      </w:pPr>
    </w:p>
    <w:tbl>
      <w:tblPr>
        <w:tblW w:type="auto" w:w="0"/>
        <w:jc w:val="center"/>
        <w:tblLook w:firstColumn="1" w:firstRow="1" w:lastColumn="0" w:lastRow="0" w:noHBand="0" w:noVBand="1" w:val="04A0"/>
      </w:tblPr>
      <w:tblGrid>
        <w:gridCol w:w="3010"/>
        <w:gridCol w:w="3010"/>
        <w:gridCol w:w="3010"/>
      </w:tblGrid>
      <w:tr>
        <w:tc>
          <w:tcPr>
            <w:tcW w:type="dxa" w:w="3010"/>
          </w:tcPr>
          <w:p>
            <w:pPr>
              <w:jc w:val="center"/>
            </w:pPr>
            <w:r>
              <w:t>_____________________</w:t>
              <w:br/>
            </w:r>
          </w:p>
        </w:tc>
        <w:tc>
          <w:tcPr>
            <w:tcW w:type="dxa" w:w="3010"/>
          </w:tcPr>
          <w:p>
            <w:pPr>
              <w:jc w:val="center"/>
            </w:pPr>
            <w:r>
              <w:t>_____________________</w:t>
              <w:br/>
            </w:r>
          </w:p>
        </w:tc>
        <w:tc>
          <w:tcPr>
            <w:tcW w:type="dxa" w:w="3010"/>
          </w:tcPr>
          <w:p>
            <w:pPr>
              <w:jc w:val="center"/>
            </w:pPr>
            <w:r>
              <w:t>_____________________</w:t>
              <w:br/>
            </w:r>
          </w:p>
        </w:tc>
      </w:tr>
      <w:tr>
        <w:tc>
          <w:tcPr>
            <w:tcW w:type="dxa" w:w="3010"/>
          </w:tcPr>
          <w:p>
            <w:pPr>
              <w:jc w:val="center"/>
            </w:pPr>
            <w:r>
              <w:rPr>
                <w:rFonts w:ascii="Times New Roman" w:hAnsi="Times New Roman"/>
                <w:b/>
                <w:sz w:val="20"/>
              </w:rPr>
              <w:t>[Internal Guide Name]</w:t>
              <w:br/>
              <w:t>Project Supervisor</w:t>
              <w:br/>
              <w:t>Dept. of CSE, CBIT</w:t>
            </w:r>
          </w:p>
        </w:tc>
        <w:tc>
          <w:tcPr>
            <w:tcW w:type="dxa" w:w="3010"/>
          </w:tcPr>
          <w:p>
            <w:pPr>
              <w:jc w:val="center"/>
            </w:pPr>
            <w:r>
              <w:rPr>
                <w:rFonts w:ascii="Times New Roman" w:hAnsi="Times New Roman"/>
                <w:b/>
                <w:sz w:val="20"/>
              </w:rPr>
              <w:t>[Head of Department Name]</w:t>
              <w:br/>
              <w:t>Head of the Department</w:t>
              <w:br/>
              <w:t>Dept. of CSE, CBIT</w:t>
            </w:r>
          </w:p>
        </w:tc>
        <w:tc>
          <w:tcPr>
            <w:tcW w:type="dxa" w:w="3010"/>
          </w:tcPr>
          <w:p>
            <w:pPr>
              <w:jc w:val="center"/>
            </w:pPr>
            <w:r>
              <w:rPr>
                <w:rFonts w:ascii="Times New Roman" w:hAnsi="Times New Roman"/>
                <w:b/>
                <w:sz w:val="20"/>
              </w:rPr>
              <w:t>[Principal Name]</w:t>
              <w:br/>
              <w:t>Principal</w:t>
              <w:br/>
              <w:t>CBIT, Hyderabad</w:t>
            </w:r>
          </w:p>
        </w:tc>
      </w:tr>
    </w:tbl>
    <w:p>
      <w:r>
        <w:br w:type="page"/>
      </w:r>
    </w:p>
    <w:p>
      <w:pPr>
        <w:pStyle w:val="Heading1"/>
        <w:keepNext/>
        <w:spacing w:before="280" w:after="120"/>
        <w:jc w:val="center"/>
      </w:pPr>
      <w:r>
        <w:rPr>
          <w:rFonts w:ascii="Times New Roman" w:hAnsi="Times New Roman"/>
          <w:b/>
          <w:color w:val="0F172A"/>
          <w:sz w:val="32"/>
        </w:rPr>
        <w:t>DECLARATION</w:t>
      </w:r>
    </w:p>
    <w:p>
      <w:pPr>
        <w:spacing w:line="312" w:lineRule="auto" w:after="240"/>
        <w:jc w:val="both"/>
      </w:pPr>
    </w:p>
    <w:p>
      <w:pPr>
        <w:spacing w:line="312" w:lineRule="auto" w:after="120"/>
        <w:jc w:val="both"/>
      </w:pPr>
      <w:r>
        <w:rPr>
          <w:rFonts w:ascii="Times New Roman" w:hAnsi="Times New Roman"/>
          <w:color w:val="1E293B"/>
          <w:sz w:val="23"/>
        </w:rPr>
        <w:t>I, MEKALA ABHILASH, hereby declare that the project report entitled “COVERAGE TRUTH LAYER: CATCH COVERAGE CONTRADICTIONS BEFORE THEY BECOME DENIED CLAIMS”, submitted to the Department of Computer Science and Engineering, Chaitanya Bharathi Institute of Technology (CBIT), Hyderabad, in partial fulfillment of the requirements for the degree of Bachelor of Technology in Computer Science and Engineering, is an authentic record of my own research and implementation carried out under the supervision of my project guide.</w:t>
      </w:r>
    </w:p>
    <w:p>
      <w:pPr>
        <w:spacing w:line="312" w:lineRule="auto" w:after="120"/>
        <w:jc w:val="both"/>
      </w:pPr>
      <w:r>
        <w:rPr>
          <w:rFonts w:ascii="Times New Roman" w:hAnsi="Times New Roman"/>
          <w:color w:val="1E293B"/>
          <w:sz w:val="23"/>
        </w:rPr>
        <w:t>I further declare that this project work has not been previously submitted either in part or in full to any other University or Institute for the award of any degree, diploma, or certificate. The concepts, architecture, code implementations, and evaluation frameworks presented herein represent my original intellectual contribution, supported by the referenced academic literature and domain knowledge.</w:t>
      </w:r>
    </w:p>
    <w:p>
      <w:pPr>
        <w:spacing w:line="312" w:lineRule="auto" w:after="720"/>
        <w:jc w:val="both"/>
      </w:pPr>
    </w:p>
    <w:p>
      <w:pPr>
        <w:jc w:val="right"/>
      </w:pPr>
      <w:r>
        <w:rPr>
          <w:rFonts w:ascii="Times New Roman" w:hAnsi="Times New Roman"/>
          <w:b/>
          <w:sz w:val="22"/>
        </w:rPr>
        <w:t>MEKALA ABHILASH</w:t>
        <w:br/>
        <w:t>Roll No: [1601-21-733-XXX]</w:t>
        <w:br/>
        <w:t>B.Tech CSE, 8th Semester</w:t>
        <w:br/>
        <w:t>CBIT, Hyderabad</w:t>
        <w:br/>
        <w:t>Date: October 2026</w:t>
      </w:r>
    </w:p>
    <w:p>
      <w:r>
        <w:br w:type="page"/>
      </w:r>
    </w:p>
    <w:p>
      <w:pPr>
        <w:pStyle w:val="Heading1"/>
        <w:keepNext/>
        <w:spacing w:before="280" w:after="120"/>
        <w:jc w:val="center"/>
      </w:pPr>
      <w:r>
        <w:rPr>
          <w:rFonts w:ascii="Times New Roman" w:hAnsi="Times New Roman"/>
          <w:b/>
          <w:color w:val="0F172A"/>
          <w:sz w:val="32"/>
        </w:rPr>
        <w:t>ACKNOWLEDGEMENT</w:t>
      </w:r>
    </w:p>
    <w:p>
      <w:pPr>
        <w:spacing w:line="312" w:lineRule="auto" w:after="240"/>
        <w:jc w:val="both"/>
      </w:pPr>
    </w:p>
    <w:p>
      <w:pPr>
        <w:spacing w:line="312" w:lineRule="auto" w:after="120"/>
        <w:jc w:val="both"/>
      </w:pPr>
      <w:r>
        <w:rPr>
          <w:rFonts w:ascii="Times New Roman" w:hAnsi="Times New Roman"/>
          <w:color w:val="1E293B"/>
          <w:sz w:val="23"/>
        </w:rPr>
        <w:t>First and foremost, I express my profound gratitude to the Almighty for granting me the wisdom, perseverance, and strength to complete this project successfully.</w:t>
      </w:r>
    </w:p>
    <w:p>
      <w:pPr>
        <w:spacing w:line="312" w:lineRule="auto" w:after="120"/>
        <w:jc w:val="both"/>
      </w:pPr>
      <w:r>
        <w:rPr>
          <w:rFonts w:ascii="Times New Roman" w:hAnsi="Times New Roman"/>
          <w:color w:val="1E293B"/>
          <w:sz w:val="23"/>
        </w:rPr>
        <w:t>I wish to convey my deepest sense of gratitude and respect to my Project Supervisor, [Internal Guide Name], [Designation], Department of Computer Science and Engineering, for their invaluable guidance, intellectual stimulation, and constructive feedback throughout the inception, design, and execution of this work.</w:t>
      </w:r>
    </w:p>
    <w:p>
      <w:pPr>
        <w:spacing w:line="312" w:lineRule="auto" w:after="120"/>
        <w:jc w:val="both"/>
      </w:pPr>
      <w:r>
        <w:rPr>
          <w:rFonts w:ascii="Times New Roman" w:hAnsi="Times New Roman"/>
          <w:color w:val="1E293B"/>
          <w:sz w:val="23"/>
        </w:rPr>
        <w:t>I express my sincere thanks to [HOD Name], Professor and Head of the Department of Computer Science and Engineering, CBIT, for providing the necessary computing resources, departmental encouragement, and fostering an environment conducive to innovative research.</w:t>
      </w:r>
    </w:p>
    <w:p>
      <w:pPr>
        <w:spacing w:line="312" w:lineRule="auto" w:after="120"/>
        <w:jc w:val="both"/>
      </w:pPr>
      <w:r>
        <w:rPr>
          <w:rFonts w:ascii="Times New Roman" w:hAnsi="Times New Roman"/>
          <w:color w:val="1E293B"/>
          <w:sz w:val="23"/>
        </w:rPr>
        <w:t>I also express my heartfelt appreciation to Prof. [Principal Name], Principal, Chaitanya Bharathi Institute of Technology, for providing the state-of-the-art infrastructure and administrative support that made this project possible.</w:t>
      </w:r>
    </w:p>
    <w:p>
      <w:pPr>
        <w:spacing w:line="312" w:lineRule="auto" w:after="120"/>
        <w:jc w:val="both"/>
      </w:pPr>
      <w:r>
        <w:rPr>
          <w:rFonts w:ascii="Times New Roman" w:hAnsi="Times New Roman"/>
          <w:color w:val="1E293B"/>
          <w:sz w:val="23"/>
        </w:rPr>
        <w:t>I extend my gratitude to all faculty members and technical staff of the CSE Department for their constant support. Finally, I express my heartfelt gratitude to my parents and friends for their enduring encouragement, sacrifices, and moral support throughout my academic journey.</w:t>
      </w:r>
    </w:p>
    <w:p>
      <w:pPr>
        <w:spacing w:line="312" w:lineRule="auto" w:after="480"/>
        <w:jc w:val="both"/>
      </w:pPr>
    </w:p>
    <w:p>
      <w:pPr>
        <w:jc w:val="right"/>
      </w:pPr>
      <w:r>
        <w:rPr>
          <w:rFonts w:ascii="Times New Roman" w:hAnsi="Times New Roman"/>
          <w:b/>
          <w:sz w:val="22"/>
        </w:rPr>
        <w:t>— Mekala Abhilash</w:t>
      </w:r>
    </w:p>
    <w:p>
      <w:r>
        <w:br w:type="page"/>
      </w:r>
    </w:p>
    <w:p>
      <w:pPr>
        <w:pStyle w:val="Heading1"/>
        <w:keepNext/>
        <w:spacing w:before="280" w:after="120"/>
        <w:jc w:val="center"/>
      </w:pPr>
      <w:r>
        <w:rPr>
          <w:rFonts w:ascii="Times New Roman" w:hAnsi="Times New Roman"/>
          <w:b/>
          <w:color w:val="0F172A"/>
          <w:sz w:val="32"/>
        </w:rPr>
        <w:t>ABSTRACT</w:t>
      </w:r>
    </w:p>
    <w:p>
      <w:pPr>
        <w:spacing w:line="312" w:lineRule="auto" w:after="240"/>
        <w:jc w:val="both"/>
      </w:pPr>
    </w:p>
    <w:p>
      <w:pPr>
        <w:spacing w:line="312" w:lineRule="auto" w:after="120"/>
        <w:jc w:val="both"/>
      </w:pPr>
      <w:r>
        <w:rPr>
          <w:rFonts w:ascii="Times New Roman" w:hAnsi="Times New Roman"/>
          <w:color w:val="1E293B"/>
          <w:sz w:val="23"/>
        </w:rPr>
        <w:t>In the commercial property and casualty insurance domain, legal contracts are notoriously fragmented across broker quotation indications, email correspondence, issued master policy forms, and subsequent post-binding endorsement riders. Manual policy checking is labor-intensive, error-prone, and performed under severe operational time constraints. Consequently, silent coverage contradictions—such as discrepancies between promised blanket flood limits and restrictive endorsement sub-limits—often remain undetected until a catastrophic loss occurs, resulting in contested claims, unexpected financial distress for policyholders, and extensive Errors &amp; Omissions (E&amp;O) litigation for brokers and carriers.</w:t>
      </w:r>
    </w:p>
    <w:p>
      <w:pPr>
        <w:spacing w:line="312" w:lineRule="auto" w:after="120"/>
        <w:jc w:val="both"/>
      </w:pPr>
      <w:r>
        <w:rPr>
          <w:rFonts w:ascii="Times New Roman" w:hAnsi="Times New Roman"/>
          <w:color w:val="1E293B"/>
          <w:sz w:val="23"/>
        </w:rPr>
        <w:t>This project introduces Coverage Truth Layer (CTL), an enterprise-grade, AI-powered document intelligence and evidence-traceability system designed to catch coverage contradictions before they materialize into denied claims. Grounded in the architectural principle of “Pipeline first, Agent when needed, Human judgment for the final decision,” CTL establishes a hybrid deterministic and semantic verification framework. The system combines exact mathematical rule checking (for monetary sub-limits, deductibles, and territorial codes) with contextual Large Language Model (LLM) semantic comparison to evaluate legal nuance. When high variance or chronological disparities (such as endorsements issued weeks after inception without documented consideration) are detected, the pipeline automatically branches into a strictly bounded autonomous investigation agent to examine contractual precedence clauses (e.g., ISO Form F.4) and verify document transmittal histories.</w:t>
      </w:r>
    </w:p>
    <w:p>
      <w:pPr>
        <w:spacing w:line="312" w:lineRule="auto" w:after="120"/>
        <w:jc w:val="both"/>
      </w:pPr>
      <w:r>
        <w:rPr>
          <w:rFonts w:ascii="Times New Roman" w:hAnsi="Times New Roman"/>
          <w:color w:val="1E293B"/>
          <w:sz w:val="23"/>
        </w:rPr>
        <w:t>Every identified finding is anchored to cryptographic character-level source citations and routed to an interactive, human-in-the-loop review console backed by an immutable, locally persistent audit trail. The prototype has been fully implemented using modern web standards (React 18, TypeScript, Vite, Tailwind CSS, Framer Motion) and validated using realistic fictional commercial property datasets. The live application is deployed at https://coverage-truth-layer.vercel.app/. Furthermore, an enterprise pilot measurement framework is formalized across six objective evaluation dimensions, providing a dependable foundation for future production insurance workflow integrations.</w:t>
      </w:r>
    </w:p>
    <w:p>
      <w:pPr>
        <w:spacing w:line="312" w:lineRule="auto" w:after="120"/>
        <w:jc w:val="both"/>
      </w:pPr>
      <w:r>
        <w:rPr>
          <w:rFonts w:ascii="Times New Roman" w:hAnsi="Times New Roman"/>
          <w:b/>
          <w:color w:val="0F172A"/>
          <w:sz w:val="23"/>
        </w:rPr>
        <w:t xml:space="preserve">Keywords: </w:t>
      </w:r>
      <w:r>
        <w:rPr>
          <w:rFonts w:ascii="Times New Roman" w:hAnsi="Times New Roman"/>
          <w:color w:val="1E293B"/>
          <w:sz w:val="23"/>
        </w:rPr>
        <w:t>Document Intelligence, Insurance Document Reconciliation, Evidence Traceability, Bounded Autonomous Agents, Natural Language Processing, Human-in-the-Loop, Contract Verification.</w:t>
      </w:r>
    </w:p>
    <w:p>
      <w:r>
        <w:br w:type="page"/>
      </w:r>
    </w:p>
    <w:p>
      <w:pPr>
        <w:pStyle w:val="Heading1"/>
        <w:keepNext/>
        <w:spacing w:before="280" w:after="120"/>
        <w:jc w:val="center"/>
      </w:pPr>
      <w:r>
        <w:rPr>
          <w:rFonts w:ascii="Times New Roman" w:hAnsi="Times New Roman"/>
          <w:b/>
          <w:color w:val="0F172A"/>
          <w:sz w:val="32"/>
        </w:rPr>
        <w:t>TABLE OF CONTENTS</w:t>
      </w:r>
    </w:p>
    <w:tbl>
      <w:tblPr>
        <w:tblW w:type="auto" w:w="0"/>
        <w:jc w:val="center"/>
        <w:tblLook w:firstColumn="1" w:firstRow="1" w:lastColumn="0" w:lastRow="0" w:noHBand="0" w:noVBand="1" w:val="04A0"/>
      </w:tblPr>
      <w:tblGrid>
        <w:gridCol w:w="4514"/>
        <w:gridCol w:w="4514"/>
      </w:tblGrid>
      <w:tr>
        <w:tc>
          <w:tcPr>
            <w:tcW w:type="dxa" w:w="4514"/>
          </w:tcPr>
          <w:p>
            <w:pPr>
              <w:spacing w:line="276" w:lineRule="auto" w:after="40"/>
            </w:pPr>
            <w:r>
              <w:rPr>
                <w:rFonts w:ascii="Times New Roman" w:hAnsi="Times New Roman"/>
                <w:b/>
                <w:sz w:val="22"/>
              </w:rPr>
              <w:t>Certificate</w:t>
            </w:r>
          </w:p>
        </w:tc>
        <w:tc>
          <w:tcPr>
            <w:tcW w:type="dxa" w:w="4514"/>
          </w:tcPr>
          <w:p>
            <w:pPr>
              <w:spacing w:line="276" w:lineRule="auto" w:after="40"/>
              <w:jc w:val="right"/>
            </w:pPr>
            <w:r>
              <w:rPr>
                <w:rFonts w:ascii="Times New Roman" w:hAnsi="Times New Roman"/>
                <w:sz w:val="22"/>
              </w:rPr>
              <w:t>ii</w:t>
            </w:r>
          </w:p>
        </w:tc>
      </w:tr>
      <w:tr>
        <w:tc>
          <w:tcPr>
            <w:tcW w:type="dxa" w:w="4514"/>
          </w:tcPr>
          <w:p>
            <w:pPr>
              <w:spacing w:line="276" w:lineRule="auto" w:after="40"/>
            </w:pPr>
            <w:r>
              <w:rPr>
                <w:rFonts w:ascii="Times New Roman" w:hAnsi="Times New Roman"/>
                <w:b/>
                <w:sz w:val="22"/>
              </w:rPr>
              <w:t>Declaration</w:t>
            </w:r>
          </w:p>
        </w:tc>
        <w:tc>
          <w:tcPr>
            <w:tcW w:type="dxa" w:w="4514"/>
          </w:tcPr>
          <w:p>
            <w:pPr>
              <w:spacing w:line="276" w:lineRule="auto" w:after="40"/>
              <w:jc w:val="right"/>
            </w:pPr>
            <w:r>
              <w:rPr>
                <w:rFonts w:ascii="Times New Roman" w:hAnsi="Times New Roman"/>
                <w:sz w:val="22"/>
              </w:rPr>
              <w:t>iii</w:t>
            </w:r>
          </w:p>
        </w:tc>
      </w:tr>
      <w:tr>
        <w:tc>
          <w:tcPr>
            <w:tcW w:type="dxa" w:w="4514"/>
          </w:tcPr>
          <w:p>
            <w:pPr>
              <w:spacing w:line="276" w:lineRule="auto" w:after="40"/>
            </w:pPr>
            <w:r>
              <w:rPr>
                <w:rFonts w:ascii="Times New Roman" w:hAnsi="Times New Roman"/>
                <w:b/>
                <w:sz w:val="22"/>
              </w:rPr>
              <w:t>Acknowledgement</w:t>
            </w:r>
          </w:p>
        </w:tc>
        <w:tc>
          <w:tcPr>
            <w:tcW w:type="dxa" w:w="4514"/>
          </w:tcPr>
          <w:p>
            <w:pPr>
              <w:spacing w:line="276" w:lineRule="auto" w:after="40"/>
              <w:jc w:val="right"/>
            </w:pPr>
            <w:r>
              <w:rPr>
                <w:rFonts w:ascii="Times New Roman" w:hAnsi="Times New Roman"/>
                <w:sz w:val="22"/>
              </w:rPr>
              <w:t>iv</w:t>
            </w:r>
          </w:p>
        </w:tc>
      </w:tr>
      <w:tr>
        <w:tc>
          <w:tcPr>
            <w:tcW w:type="dxa" w:w="4514"/>
          </w:tcPr>
          <w:p>
            <w:pPr>
              <w:spacing w:line="276" w:lineRule="auto" w:after="40"/>
            </w:pPr>
            <w:r>
              <w:rPr>
                <w:rFonts w:ascii="Times New Roman" w:hAnsi="Times New Roman"/>
                <w:b/>
                <w:sz w:val="22"/>
              </w:rPr>
              <w:t>Abstract</w:t>
            </w:r>
          </w:p>
        </w:tc>
        <w:tc>
          <w:tcPr>
            <w:tcW w:type="dxa" w:w="4514"/>
          </w:tcPr>
          <w:p>
            <w:pPr>
              <w:spacing w:line="276" w:lineRule="auto" w:after="40"/>
              <w:jc w:val="right"/>
            </w:pPr>
            <w:r>
              <w:rPr>
                <w:rFonts w:ascii="Times New Roman" w:hAnsi="Times New Roman"/>
                <w:sz w:val="22"/>
              </w:rPr>
              <w:t>v</w:t>
            </w:r>
          </w:p>
        </w:tc>
      </w:tr>
      <w:tr>
        <w:tc>
          <w:tcPr>
            <w:tcW w:type="dxa" w:w="4514"/>
          </w:tcPr>
          <w:p>
            <w:pPr>
              <w:spacing w:line="276" w:lineRule="auto" w:after="40"/>
            </w:pPr>
            <w:r>
              <w:rPr>
                <w:rFonts w:ascii="Times New Roman" w:hAnsi="Times New Roman"/>
                <w:sz w:val="22"/>
              </w:rPr>
              <w:t>List of Figures</w:t>
            </w:r>
          </w:p>
        </w:tc>
        <w:tc>
          <w:tcPr>
            <w:tcW w:type="dxa" w:w="4514"/>
          </w:tcPr>
          <w:p>
            <w:pPr>
              <w:spacing w:line="276" w:lineRule="auto" w:after="40"/>
              <w:jc w:val="right"/>
            </w:pPr>
            <w:r>
              <w:rPr>
                <w:rFonts w:ascii="Times New Roman" w:hAnsi="Times New Roman"/>
                <w:sz w:val="22"/>
              </w:rPr>
              <w:t>viii</w:t>
            </w:r>
          </w:p>
        </w:tc>
      </w:tr>
      <w:tr>
        <w:tc>
          <w:tcPr>
            <w:tcW w:type="dxa" w:w="4514"/>
          </w:tcPr>
          <w:p>
            <w:pPr>
              <w:spacing w:line="276" w:lineRule="auto" w:after="40"/>
            </w:pPr>
            <w:r>
              <w:rPr>
                <w:rFonts w:ascii="Times New Roman" w:hAnsi="Times New Roman"/>
                <w:sz w:val="22"/>
              </w:rPr>
              <w:t>List of Tables</w:t>
            </w:r>
          </w:p>
        </w:tc>
        <w:tc>
          <w:tcPr>
            <w:tcW w:type="dxa" w:w="4514"/>
          </w:tcPr>
          <w:p>
            <w:pPr>
              <w:spacing w:line="276" w:lineRule="auto" w:after="40"/>
              <w:jc w:val="right"/>
            </w:pPr>
            <w:r>
              <w:rPr>
                <w:rFonts w:ascii="Times New Roman" w:hAnsi="Times New Roman"/>
                <w:sz w:val="22"/>
              </w:rPr>
              <w:t>ix</w:t>
            </w:r>
          </w:p>
        </w:tc>
      </w:tr>
      <w:tr>
        <w:tc>
          <w:tcPr>
            <w:tcW w:type="dxa" w:w="4514"/>
          </w:tcPr>
          <w:p>
            <w:pPr>
              <w:spacing w:line="276" w:lineRule="auto" w:after="40"/>
            </w:pPr>
            <w:r>
              <w:rPr>
                <w:rFonts w:ascii="Times New Roman" w:hAnsi="Times New Roman"/>
                <w:sz w:val="22"/>
              </w:rPr>
              <w:t>List of Abbreviations</w:t>
            </w:r>
          </w:p>
        </w:tc>
        <w:tc>
          <w:tcPr>
            <w:tcW w:type="dxa" w:w="4514"/>
          </w:tcPr>
          <w:p>
            <w:pPr>
              <w:spacing w:line="276" w:lineRule="auto" w:after="40"/>
              <w:jc w:val="right"/>
            </w:pPr>
            <w:r>
              <w:rPr>
                <w:rFonts w:ascii="Times New Roman" w:hAnsi="Times New Roman"/>
                <w:sz w:val="22"/>
              </w:rPr>
              <w:t>x</w:t>
            </w:r>
          </w:p>
        </w:tc>
      </w:tr>
      <w:tr>
        <w:tc>
          <w:tcPr>
            <w:tcW w:type="dxa" w:w="4514"/>
          </w:tcPr>
          <w:p>
            <w:pPr>
              <w:spacing w:line="276" w:lineRule="auto" w:after="40"/>
            </w:pPr>
            <w:r>
              <w:rPr>
                <w:rFonts w:ascii="Times New Roman" w:hAnsi="Times New Roman"/>
                <w:b/>
                <w:sz w:val="22"/>
              </w:rPr>
              <w:t>CHAPTER 1: INTRODUCTION</w:t>
            </w:r>
          </w:p>
        </w:tc>
        <w:tc>
          <w:tcPr>
            <w:tcW w:type="dxa" w:w="4514"/>
          </w:tcPr>
          <w:p>
            <w:pPr>
              <w:spacing w:line="276" w:lineRule="auto" w:after="40"/>
              <w:jc w:val="right"/>
            </w:pPr>
            <w:r>
              <w:rPr>
                <w:rFonts w:ascii="Times New Roman" w:hAnsi="Times New Roman"/>
                <w:b/>
                <w:sz w:val="22"/>
              </w:rPr>
              <w:t>1</w:t>
            </w:r>
          </w:p>
        </w:tc>
      </w:tr>
      <w:tr>
        <w:tc>
          <w:tcPr>
            <w:tcW w:type="dxa" w:w="4514"/>
          </w:tcPr>
          <w:p>
            <w:pPr>
              <w:spacing w:line="276" w:lineRule="auto" w:after="40"/>
            </w:pPr>
            <w:r>
              <w:rPr>
                <w:rFonts w:ascii="Times New Roman" w:hAnsi="Times New Roman"/>
                <w:sz w:val="22"/>
              </w:rPr>
              <w:t xml:space="preserve">    1.1 Domain Overview</w:t>
            </w:r>
          </w:p>
        </w:tc>
        <w:tc>
          <w:tcPr>
            <w:tcW w:type="dxa" w:w="4514"/>
          </w:tcPr>
          <w:p>
            <w:pPr>
              <w:spacing w:line="276" w:lineRule="auto" w:after="40"/>
              <w:jc w:val="right"/>
            </w:pPr>
            <w:r>
              <w:rPr>
                <w:rFonts w:ascii="Times New Roman" w:hAnsi="Times New Roman"/>
                <w:sz w:val="22"/>
              </w:rPr>
              <w:t>1</w:t>
            </w:r>
          </w:p>
        </w:tc>
      </w:tr>
      <w:tr>
        <w:tc>
          <w:tcPr>
            <w:tcW w:type="dxa" w:w="4514"/>
          </w:tcPr>
          <w:p>
            <w:pPr>
              <w:spacing w:line="276" w:lineRule="auto" w:after="40"/>
            </w:pPr>
            <w:r>
              <w:rPr>
                <w:rFonts w:ascii="Times New Roman" w:hAnsi="Times New Roman"/>
                <w:sz w:val="22"/>
              </w:rPr>
              <w:t xml:space="preserve">    1.2 Challenges in Insurance Document Intelligence</w:t>
            </w:r>
          </w:p>
        </w:tc>
        <w:tc>
          <w:tcPr>
            <w:tcW w:type="dxa" w:w="4514"/>
          </w:tcPr>
          <w:p>
            <w:pPr>
              <w:spacing w:line="276" w:lineRule="auto" w:after="40"/>
              <w:jc w:val="right"/>
            </w:pPr>
            <w:r>
              <w:rPr>
                <w:rFonts w:ascii="Times New Roman" w:hAnsi="Times New Roman"/>
                <w:sz w:val="22"/>
              </w:rPr>
              <w:t>3</w:t>
            </w:r>
          </w:p>
        </w:tc>
      </w:tr>
      <w:tr>
        <w:tc>
          <w:tcPr>
            <w:tcW w:type="dxa" w:w="4514"/>
          </w:tcPr>
          <w:p>
            <w:pPr>
              <w:spacing w:line="276" w:lineRule="auto" w:after="40"/>
            </w:pPr>
            <w:r>
              <w:rPr>
                <w:rFonts w:ascii="Times New Roman" w:hAnsi="Times New Roman"/>
                <w:sz w:val="22"/>
              </w:rPr>
              <w:t xml:space="preserve">    1.3 Motivation</w:t>
            </w:r>
          </w:p>
        </w:tc>
        <w:tc>
          <w:tcPr>
            <w:tcW w:type="dxa" w:w="4514"/>
          </w:tcPr>
          <w:p>
            <w:pPr>
              <w:spacing w:line="276" w:lineRule="auto" w:after="40"/>
              <w:jc w:val="right"/>
            </w:pPr>
            <w:r>
              <w:rPr>
                <w:rFonts w:ascii="Times New Roman" w:hAnsi="Times New Roman"/>
                <w:sz w:val="22"/>
              </w:rPr>
              <w:t>5</w:t>
            </w:r>
          </w:p>
        </w:tc>
      </w:tr>
      <w:tr>
        <w:tc>
          <w:tcPr>
            <w:tcW w:type="dxa" w:w="4514"/>
          </w:tcPr>
          <w:p>
            <w:pPr>
              <w:spacing w:line="276" w:lineRule="auto" w:after="40"/>
            </w:pPr>
            <w:r>
              <w:rPr>
                <w:rFonts w:ascii="Times New Roman" w:hAnsi="Times New Roman"/>
                <w:sz w:val="22"/>
              </w:rPr>
              <w:t xml:space="preserve">    1.4 Scope and System Boundaries</w:t>
            </w:r>
          </w:p>
        </w:tc>
        <w:tc>
          <w:tcPr>
            <w:tcW w:type="dxa" w:w="4514"/>
          </w:tcPr>
          <w:p>
            <w:pPr>
              <w:spacing w:line="276" w:lineRule="auto" w:after="40"/>
              <w:jc w:val="right"/>
            </w:pPr>
            <w:r>
              <w:rPr>
                <w:rFonts w:ascii="Times New Roman" w:hAnsi="Times New Roman"/>
                <w:sz w:val="22"/>
              </w:rPr>
              <w:t>6</w:t>
            </w:r>
          </w:p>
        </w:tc>
      </w:tr>
      <w:tr>
        <w:tc>
          <w:tcPr>
            <w:tcW w:type="dxa" w:w="4514"/>
          </w:tcPr>
          <w:p>
            <w:pPr>
              <w:spacing w:line="276" w:lineRule="auto" w:after="40"/>
            </w:pPr>
            <w:r>
              <w:rPr>
                <w:rFonts w:ascii="Times New Roman" w:hAnsi="Times New Roman"/>
                <w:sz w:val="22"/>
              </w:rPr>
              <w:t xml:space="preserve">    1.5 Objectives of the Project</w:t>
            </w:r>
          </w:p>
        </w:tc>
        <w:tc>
          <w:tcPr>
            <w:tcW w:type="dxa" w:w="4514"/>
          </w:tcPr>
          <w:p>
            <w:pPr>
              <w:spacing w:line="276" w:lineRule="auto" w:after="40"/>
              <w:jc w:val="right"/>
            </w:pPr>
            <w:r>
              <w:rPr>
                <w:rFonts w:ascii="Times New Roman" w:hAnsi="Times New Roman"/>
                <w:sz w:val="22"/>
              </w:rPr>
              <w:t>7</w:t>
            </w:r>
          </w:p>
        </w:tc>
      </w:tr>
      <w:tr>
        <w:tc>
          <w:tcPr>
            <w:tcW w:type="dxa" w:w="4514"/>
          </w:tcPr>
          <w:p>
            <w:pPr>
              <w:spacing w:line="276" w:lineRule="auto" w:after="40"/>
            </w:pPr>
            <w:r>
              <w:rPr>
                <w:rFonts w:ascii="Times New Roman" w:hAnsi="Times New Roman"/>
                <w:b/>
                <w:sz w:val="22"/>
              </w:rPr>
              <w:t>CHAPTER 2: LITERATURE SURVEY</w:t>
            </w:r>
          </w:p>
        </w:tc>
        <w:tc>
          <w:tcPr>
            <w:tcW w:type="dxa" w:w="4514"/>
          </w:tcPr>
          <w:p>
            <w:pPr>
              <w:spacing w:line="276" w:lineRule="auto" w:after="40"/>
              <w:jc w:val="right"/>
            </w:pPr>
            <w:r>
              <w:rPr>
                <w:rFonts w:ascii="Times New Roman" w:hAnsi="Times New Roman"/>
                <w:b/>
                <w:sz w:val="22"/>
              </w:rPr>
              <w:t>9</w:t>
            </w:r>
          </w:p>
        </w:tc>
      </w:tr>
      <w:tr>
        <w:tc>
          <w:tcPr>
            <w:tcW w:type="dxa" w:w="4514"/>
          </w:tcPr>
          <w:p>
            <w:pPr>
              <w:spacing w:line="276" w:lineRule="auto" w:after="40"/>
            </w:pPr>
            <w:r>
              <w:rPr>
                <w:rFonts w:ascii="Times New Roman" w:hAnsi="Times New Roman"/>
                <w:sz w:val="22"/>
              </w:rPr>
              <w:t xml:space="preserve">    2.1 Introduction to Problem Domain Terminology</w:t>
            </w:r>
          </w:p>
        </w:tc>
        <w:tc>
          <w:tcPr>
            <w:tcW w:type="dxa" w:w="4514"/>
          </w:tcPr>
          <w:p>
            <w:pPr>
              <w:spacing w:line="276" w:lineRule="auto" w:after="40"/>
              <w:jc w:val="right"/>
            </w:pPr>
            <w:r>
              <w:rPr>
                <w:rFonts w:ascii="Times New Roman" w:hAnsi="Times New Roman"/>
                <w:sz w:val="22"/>
              </w:rPr>
              <w:t>9</w:t>
            </w:r>
          </w:p>
        </w:tc>
      </w:tr>
      <w:tr>
        <w:tc>
          <w:tcPr>
            <w:tcW w:type="dxa" w:w="4514"/>
          </w:tcPr>
          <w:p>
            <w:pPr>
              <w:spacing w:line="276" w:lineRule="auto" w:after="40"/>
            </w:pPr>
            <w:r>
              <w:rPr>
                <w:rFonts w:ascii="Times New Roman" w:hAnsi="Times New Roman"/>
                <w:sz w:val="22"/>
              </w:rPr>
              <w:t xml:space="preserve">    2.2 Existing Solutions and Comparative Analysis</w:t>
            </w:r>
          </w:p>
        </w:tc>
        <w:tc>
          <w:tcPr>
            <w:tcW w:type="dxa" w:w="4514"/>
          </w:tcPr>
          <w:p>
            <w:pPr>
              <w:spacing w:line="276" w:lineRule="auto" w:after="40"/>
              <w:jc w:val="right"/>
            </w:pPr>
            <w:r>
              <w:rPr>
                <w:rFonts w:ascii="Times New Roman" w:hAnsi="Times New Roman"/>
                <w:sz w:val="22"/>
              </w:rPr>
              <w:t>11</w:t>
            </w:r>
          </w:p>
        </w:tc>
      </w:tr>
      <w:tr>
        <w:tc>
          <w:tcPr>
            <w:tcW w:type="dxa" w:w="4514"/>
          </w:tcPr>
          <w:p>
            <w:pPr>
              <w:spacing w:line="276" w:lineRule="auto" w:after="40"/>
            </w:pPr>
            <w:r>
              <w:rPr>
                <w:rFonts w:ascii="Times New Roman" w:hAnsi="Times New Roman"/>
                <w:sz w:val="22"/>
              </w:rPr>
              <w:t xml:space="preserve">    2.3 Related Works in Document Intelligence &amp; LLMs</w:t>
            </w:r>
          </w:p>
        </w:tc>
        <w:tc>
          <w:tcPr>
            <w:tcW w:type="dxa" w:w="4514"/>
          </w:tcPr>
          <w:p>
            <w:pPr>
              <w:spacing w:line="276" w:lineRule="auto" w:after="40"/>
              <w:jc w:val="right"/>
            </w:pPr>
            <w:r>
              <w:rPr>
                <w:rFonts w:ascii="Times New Roman" w:hAnsi="Times New Roman"/>
                <w:sz w:val="22"/>
              </w:rPr>
              <w:t>13</w:t>
            </w:r>
          </w:p>
        </w:tc>
      </w:tr>
      <w:tr>
        <w:tc>
          <w:tcPr>
            <w:tcW w:type="dxa" w:w="4514"/>
          </w:tcPr>
          <w:p>
            <w:pPr>
              <w:spacing w:line="276" w:lineRule="auto" w:after="40"/>
            </w:pPr>
            <w:r>
              <w:rPr>
                <w:rFonts w:ascii="Times New Roman" w:hAnsi="Times New Roman"/>
                <w:sz w:val="22"/>
              </w:rPr>
              <w:t xml:space="preserve">    2.4 Tools and Technologies Used</w:t>
            </w:r>
          </w:p>
        </w:tc>
        <w:tc>
          <w:tcPr>
            <w:tcW w:type="dxa" w:w="4514"/>
          </w:tcPr>
          <w:p>
            <w:pPr>
              <w:spacing w:line="276" w:lineRule="auto" w:after="40"/>
              <w:jc w:val="right"/>
            </w:pPr>
            <w:r>
              <w:rPr>
                <w:rFonts w:ascii="Times New Roman" w:hAnsi="Times New Roman"/>
                <w:sz w:val="22"/>
              </w:rPr>
              <w:t>16</w:t>
            </w:r>
          </w:p>
        </w:tc>
      </w:tr>
      <w:tr>
        <w:tc>
          <w:tcPr>
            <w:tcW w:type="dxa" w:w="4514"/>
          </w:tcPr>
          <w:p>
            <w:pPr>
              <w:spacing w:line="276" w:lineRule="auto" w:after="40"/>
            </w:pPr>
            <w:r>
              <w:rPr>
                <w:rFonts w:ascii="Times New Roman" w:hAnsi="Times New Roman"/>
                <w:sz w:val="22"/>
              </w:rPr>
              <w:t xml:space="preserve">        2.4.1 Programming and Frontend/Backend Frameworks</w:t>
            </w:r>
          </w:p>
        </w:tc>
        <w:tc>
          <w:tcPr>
            <w:tcW w:type="dxa" w:w="4514"/>
          </w:tcPr>
          <w:p>
            <w:pPr>
              <w:spacing w:line="276" w:lineRule="auto" w:after="40"/>
              <w:jc w:val="right"/>
            </w:pPr>
            <w:r>
              <w:rPr>
                <w:rFonts w:ascii="Times New Roman" w:hAnsi="Times New Roman"/>
                <w:sz w:val="22"/>
              </w:rPr>
              <w:t>16</w:t>
            </w:r>
          </w:p>
        </w:tc>
      </w:tr>
      <w:tr>
        <w:tc>
          <w:tcPr>
            <w:tcW w:type="dxa" w:w="4514"/>
          </w:tcPr>
          <w:p>
            <w:pPr>
              <w:spacing w:line="276" w:lineRule="auto" w:after="40"/>
            </w:pPr>
            <w:r>
              <w:rPr>
                <w:rFonts w:ascii="Times New Roman" w:hAnsi="Times New Roman"/>
                <w:sz w:val="22"/>
              </w:rPr>
              <w:t xml:space="preserve">        2.4.2 AI Models and External Services Architecture</w:t>
            </w:r>
          </w:p>
        </w:tc>
        <w:tc>
          <w:tcPr>
            <w:tcW w:type="dxa" w:w="4514"/>
          </w:tcPr>
          <w:p>
            <w:pPr>
              <w:spacing w:line="276" w:lineRule="auto" w:after="40"/>
              <w:jc w:val="right"/>
            </w:pPr>
            <w:r>
              <w:rPr>
                <w:rFonts w:ascii="Times New Roman" w:hAnsi="Times New Roman"/>
                <w:sz w:val="22"/>
              </w:rPr>
              <w:t>17</w:t>
            </w:r>
          </w:p>
        </w:tc>
      </w:tr>
      <w:tr>
        <w:tc>
          <w:tcPr>
            <w:tcW w:type="dxa" w:w="4514"/>
          </w:tcPr>
          <w:p>
            <w:pPr>
              <w:spacing w:line="276" w:lineRule="auto" w:after="40"/>
            </w:pPr>
            <w:r>
              <w:rPr>
                <w:rFonts w:ascii="Times New Roman" w:hAnsi="Times New Roman"/>
                <w:b/>
                <w:sz w:val="22"/>
              </w:rPr>
              <w:t>CHAPTER 3: DESIGN OF THE PROPOSED SYSTEM</w:t>
            </w:r>
          </w:p>
        </w:tc>
        <w:tc>
          <w:tcPr>
            <w:tcW w:type="dxa" w:w="4514"/>
          </w:tcPr>
          <w:p>
            <w:pPr>
              <w:spacing w:line="276" w:lineRule="auto" w:after="40"/>
              <w:jc w:val="right"/>
            </w:pPr>
            <w:r>
              <w:rPr>
                <w:rFonts w:ascii="Times New Roman" w:hAnsi="Times New Roman"/>
                <w:b/>
                <w:sz w:val="22"/>
              </w:rPr>
              <w:t>19</w:t>
            </w:r>
          </w:p>
        </w:tc>
      </w:tr>
      <w:tr>
        <w:tc>
          <w:tcPr>
            <w:tcW w:type="dxa" w:w="4514"/>
          </w:tcPr>
          <w:p>
            <w:pPr>
              <w:spacing w:line="276" w:lineRule="auto" w:after="40"/>
            </w:pPr>
            <w:r>
              <w:rPr>
                <w:rFonts w:ascii="Times New Roman" w:hAnsi="Times New Roman"/>
                <w:sz w:val="22"/>
              </w:rPr>
              <w:t xml:space="preserve">    3.1 System Architecture &amp; Multi-Stage Processing</w:t>
            </w:r>
          </w:p>
        </w:tc>
        <w:tc>
          <w:tcPr>
            <w:tcW w:type="dxa" w:w="4514"/>
          </w:tcPr>
          <w:p>
            <w:pPr>
              <w:spacing w:line="276" w:lineRule="auto" w:after="40"/>
              <w:jc w:val="right"/>
            </w:pPr>
            <w:r>
              <w:rPr>
                <w:rFonts w:ascii="Times New Roman" w:hAnsi="Times New Roman"/>
                <w:sz w:val="22"/>
              </w:rPr>
              <w:t>19</w:t>
            </w:r>
          </w:p>
        </w:tc>
      </w:tr>
      <w:tr>
        <w:tc>
          <w:tcPr>
            <w:tcW w:type="dxa" w:w="4514"/>
          </w:tcPr>
          <w:p>
            <w:pPr>
              <w:spacing w:line="276" w:lineRule="auto" w:after="40"/>
            </w:pPr>
            <w:r>
              <w:rPr>
                <w:rFonts w:ascii="Times New Roman" w:hAnsi="Times New Roman"/>
                <w:sz w:val="22"/>
              </w:rPr>
              <w:t xml:space="preserve">    3.2 System Requirements (Hardware and Software)</w:t>
            </w:r>
          </w:p>
        </w:tc>
        <w:tc>
          <w:tcPr>
            <w:tcW w:type="dxa" w:w="4514"/>
          </w:tcPr>
          <w:p>
            <w:pPr>
              <w:spacing w:line="276" w:lineRule="auto" w:after="40"/>
              <w:jc w:val="right"/>
            </w:pPr>
            <w:r>
              <w:rPr>
                <w:rFonts w:ascii="Times New Roman" w:hAnsi="Times New Roman"/>
                <w:sz w:val="22"/>
              </w:rPr>
              <w:t>22</w:t>
            </w:r>
          </w:p>
        </w:tc>
      </w:tr>
      <w:tr>
        <w:tc>
          <w:tcPr>
            <w:tcW w:type="dxa" w:w="4514"/>
          </w:tcPr>
          <w:p>
            <w:pPr>
              <w:spacing w:line="276" w:lineRule="auto" w:after="40"/>
            </w:pPr>
            <w:r>
              <w:rPr>
                <w:rFonts w:ascii="Times New Roman" w:hAnsi="Times New Roman"/>
                <w:sz w:val="22"/>
              </w:rPr>
              <w:t xml:space="preserve">    3.3 System Modules and Functional Description</w:t>
            </w:r>
          </w:p>
        </w:tc>
        <w:tc>
          <w:tcPr>
            <w:tcW w:type="dxa" w:w="4514"/>
          </w:tcPr>
          <w:p>
            <w:pPr>
              <w:spacing w:line="276" w:lineRule="auto" w:after="40"/>
              <w:jc w:val="right"/>
            </w:pPr>
            <w:r>
              <w:rPr>
                <w:rFonts w:ascii="Times New Roman" w:hAnsi="Times New Roman"/>
                <w:sz w:val="22"/>
              </w:rPr>
              <w:t>24</w:t>
            </w:r>
          </w:p>
        </w:tc>
      </w:tr>
      <w:tr>
        <w:tc>
          <w:tcPr>
            <w:tcW w:type="dxa" w:w="4514"/>
          </w:tcPr>
          <w:p>
            <w:pPr>
              <w:spacing w:line="276" w:lineRule="auto" w:after="40"/>
            </w:pPr>
            <w:r>
              <w:rPr>
                <w:rFonts w:ascii="Times New Roman" w:hAnsi="Times New Roman"/>
                <w:sz w:val="22"/>
              </w:rPr>
              <w:t xml:space="preserve">    3.4 Data Flow Diagrams (Context Level 0 &amp; Level 1)</w:t>
            </w:r>
          </w:p>
        </w:tc>
        <w:tc>
          <w:tcPr>
            <w:tcW w:type="dxa" w:w="4514"/>
          </w:tcPr>
          <w:p>
            <w:pPr>
              <w:spacing w:line="276" w:lineRule="auto" w:after="40"/>
              <w:jc w:val="right"/>
            </w:pPr>
            <w:r>
              <w:rPr>
                <w:rFonts w:ascii="Times New Roman" w:hAnsi="Times New Roman"/>
                <w:sz w:val="22"/>
              </w:rPr>
              <w:t>27</w:t>
            </w:r>
          </w:p>
        </w:tc>
      </w:tr>
      <w:tr>
        <w:tc>
          <w:tcPr>
            <w:tcW w:type="dxa" w:w="4514"/>
          </w:tcPr>
          <w:p>
            <w:pPr>
              <w:spacing w:line="276" w:lineRule="auto" w:after="40"/>
            </w:pPr>
            <w:r>
              <w:rPr>
                <w:rFonts w:ascii="Times New Roman" w:hAnsi="Times New Roman"/>
                <w:sz w:val="22"/>
              </w:rPr>
              <w:t xml:space="preserve">    3.5 Unified Modeling Language (UML) Diagrams</w:t>
            </w:r>
          </w:p>
        </w:tc>
        <w:tc>
          <w:tcPr>
            <w:tcW w:type="dxa" w:w="4514"/>
          </w:tcPr>
          <w:p>
            <w:pPr>
              <w:spacing w:line="276" w:lineRule="auto" w:after="40"/>
              <w:jc w:val="right"/>
            </w:pPr>
            <w:r>
              <w:rPr>
                <w:rFonts w:ascii="Times New Roman" w:hAnsi="Times New Roman"/>
                <w:sz w:val="22"/>
              </w:rPr>
              <w:t>29</w:t>
            </w:r>
          </w:p>
        </w:tc>
      </w:tr>
      <w:tr>
        <w:tc>
          <w:tcPr>
            <w:tcW w:type="dxa" w:w="4514"/>
          </w:tcPr>
          <w:p>
            <w:pPr>
              <w:spacing w:line="276" w:lineRule="auto" w:after="40"/>
            </w:pPr>
            <w:r>
              <w:rPr>
                <w:rFonts w:ascii="Times New Roman" w:hAnsi="Times New Roman"/>
                <w:b/>
                <w:sz w:val="22"/>
              </w:rPr>
              <w:t>CHAPTER 4: IMPLEMENTATION OF THE PROPOSED SYSTEM</w:t>
            </w:r>
          </w:p>
        </w:tc>
        <w:tc>
          <w:tcPr>
            <w:tcW w:type="dxa" w:w="4514"/>
          </w:tcPr>
          <w:p>
            <w:pPr>
              <w:spacing w:line="276" w:lineRule="auto" w:after="40"/>
              <w:jc w:val="right"/>
            </w:pPr>
            <w:r>
              <w:rPr>
                <w:rFonts w:ascii="Times New Roman" w:hAnsi="Times New Roman"/>
                <w:b/>
                <w:sz w:val="22"/>
              </w:rPr>
              <w:t>32</w:t>
            </w:r>
          </w:p>
        </w:tc>
      </w:tr>
      <w:tr>
        <w:tc>
          <w:tcPr>
            <w:tcW w:type="dxa" w:w="4514"/>
          </w:tcPr>
          <w:p>
            <w:pPr>
              <w:spacing w:line="276" w:lineRule="auto" w:after="40"/>
            </w:pPr>
            <w:r>
              <w:rPr>
                <w:rFonts w:ascii="Times New Roman" w:hAnsi="Times New Roman"/>
                <w:sz w:val="22"/>
              </w:rPr>
              <w:t xml:space="preserve">    4.1 Algorithm and Methodology</w:t>
            </w:r>
          </w:p>
        </w:tc>
        <w:tc>
          <w:tcPr>
            <w:tcW w:type="dxa" w:w="4514"/>
          </w:tcPr>
          <w:p>
            <w:pPr>
              <w:spacing w:line="276" w:lineRule="auto" w:after="40"/>
              <w:jc w:val="right"/>
            </w:pPr>
            <w:r>
              <w:rPr>
                <w:rFonts w:ascii="Times New Roman" w:hAnsi="Times New Roman"/>
                <w:sz w:val="22"/>
              </w:rPr>
              <w:t>32</w:t>
            </w:r>
          </w:p>
        </w:tc>
      </w:tr>
      <w:tr>
        <w:tc>
          <w:tcPr>
            <w:tcW w:type="dxa" w:w="4514"/>
          </w:tcPr>
          <w:p>
            <w:pPr>
              <w:spacing w:line="276" w:lineRule="auto" w:after="40"/>
            </w:pPr>
            <w:r>
              <w:rPr>
                <w:rFonts w:ascii="Times New Roman" w:hAnsi="Times New Roman"/>
                <w:sz w:val="22"/>
              </w:rPr>
              <w:t xml:space="preserve">    4.2 Experimental Setup &amp; Fictional Insurance Corpus</w:t>
            </w:r>
          </w:p>
        </w:tc>
        <w:tc>
          <w:tcPr>
            <w:tcW w:type="dxa" w:w="4514"/>
          </w:tcPr>
          <w:p>
            <w:pPr>
              <w:spacing w:line="276" w:lineRule="auto" w:after="40"/>
              <w:jc w:val="right"/>
            </w:pPr>
            <w:r>
              <w:rPr>
                <w:rFonts w:ascii="Times New Roman" w:hAnsi="Times New Roman"/>
                <w:sz w:val="22"/>
              </w:rPr>
              <w:t>36</w:t>
            </w:r>
          </w:p>
        </w:tc>
      </w:tr>
      <w:tr>
        <w:tc>
          <w:tcPr>
            <w:tcW w:type="dxa" w:w="4514"/>
          </w:tcPr>
          <w:p>
            <w:pPr>
              <w:spacing w:line="276" w:lineRule="auto" w:after="40"/>
            </w:pPr>
            <w:r>
              <w:rPr>
                <w:rFonts w:ascii="Times New Roman" w:hAnsi="Times New Roman"/>
                <w:sz w:val="22"/>
              </w:rPr>
              <w:t xml:space="preserve">    4.3 Implementation Details &amp; Source Code Modules</w:t>
            </w:r>
          </w:p>
        </w:tc>
        <w:tc>
          <w:tcPr>
            <w:tcW w:type="dxa" w:w="4514"/>
          </w:tcPr>
          <w:p>
            <w:pPr>
              <w:spacing w:line="276" w:lineRule="auto" w:after="40"/>
              <w:jc w:val="right"/>
            </w:pPr>
            <w:r>
              <w:rPr>
                <w:rFonts w:ascii="Times New Roman" w:hAnsi="Times New Roman"/>
                <w:sz w:val="22"/>
              </w:rPr>
              <w:t>38</w:t>
            </w:r>
          </w:p>
        </w:tc>
      </w:tr>
      <w:tr>
        <w:tc>
          <w:tcPr>
            <w:tcW w:type="dxa" w:w="4514"/>
          </w:tcPr>
          <w:p>
            <w:pPr>
              <w:spacing w:line="276" w:lineRule="auto" w:after="40"/>
            </w:pPr>
            <w:r>
              <w:rPr>
                <w:rFonts w:ascii="Times New Roman" w:hAnsi="Times New Roman"/>
                <w:b/>
                <w:sz w:val="22"/>
              </w:rPr>
              <w:t>CHAPTER 5: RESULTS, OUTPUTS AND DISCUSSIONS</w:t>
            </w:r>
          </w:p>
        </w:tc>
        <w:tc>
          <w:tcPr>
            <w:tcW w:type="dxa" w:w="4514"/>
          </w:tcPr>
          <w:p>
            <w:pPr>
              <w:spacing w:line="276" w:lineRule="auto" w:after="40"/>
              <w:jc w:val="right"/>
            </w:pPr>
            <w:r>
              <w:rPr>
                <w:rFonts w:ascii="Times New Roman" w:hAnsi="Times New Roman"/>
                <w:b/>
                <w:sz w:val="22"/>
              </w:rPr>
              <w:t>43</w:t>
            </w:r>
          </w:p>
        </w:tc>
      </w:tr>
      <w:tr>
        <w:tc>
          <w:tcPr>
            <w:tcW w:type="dxa" w:w="4514"/>
          </w:tcPr>
          <w:p>
            <w:pPr>
              <w:spacing w:line="276" w:lineRule="auto" w:after="40"/>
            </w:pPr>
            <w:r>
              <w:rPr>
                <w:rFonts w:ascii="Times New Roman" w:hAnsi="Times New Roman"/>
                <w:sz w:val="22"/>
              </w:rPr>
              <w:t xml:space="preserve">    5.1 Test Cases and Execution Results</w:t>
            </w:r>
          </w:p>
        </w:tc>
        <w:tc>
          <w:tcPr>
            <w:tcW w:type="dxa" w:w="4514"/>
          </w:tcPr>
          <w:p>
            <w:pPr>
              <w:spacing w:line="276" w:lineRule="auto" w:after="40"/>
              <w:jc w:val="right"/>
            </w:pPr>
            <w:r>
              <w:rPr>
                <w:rFonts w:ascii="Times New Roman" w:hAnsi="Times New Roman"/>
                <w:sz w:val="22"/>
              </w:rPr>
              <w:t>43</w:t>
            </w:r>
          </w:p>
        </w:tc>
      </w:tr>
      <w:tr>
        <w:tc>
          <w:tcPr>
            <w:tcW w:type="dxa" w:w="4514"/>
          </w:tcPr>
          <w:p>
            <w:pPr>
              <w:spacing w:line="276" w:lineRule="auto" w:after="40"/>
            </w:pPr>
            <w:r>
              <w:rPr>
                <w:rFonts w:ascii="Times New Roman" w:hAnsi="Times New Roman"/>
                <w:sz w:val="22"/>
              </w:rPr>
              <w:t xml:space="preserve">    5.2 Performance Metrics and Pilot Evaluation Protocol</w:t>
            </w:r>
          </w:p>
        </w:tc>
        <w:tc>
          <w:tcPr>
            <w:tcW w:type="dxa" w:w="4514"/>
          </w:tcPr>
          <w:p>
            <w:pPr>
              <w:spacing w:line="276" w:lineRule="auto" w:after="40"/>
              <w:jc w:val="right"/>
            </w:pPr>
            <w:r>
              <w:rPr>
                <w:rFonts w:ascii="Times New Roman" w:hAnsi="Times New Roman"/>
                <w:sz w:val="22"/>
              </w:rPr>
              <w:t>46</w:t>
            </w:r>
          </w:p>
        </w:tc>
      </w:tr>
      <w:tr>
        <w:tc>
          <w:tcPr>
            <w:tcW w:type="dxa" w:w="4514"/>
          </w:tcPr>
          <w:p>
            <w:pPr>
              <w:spacing w:line="276" w:lineRule="auto" w:after="40"/>
            </w:pPr>
            <w:r>
              <w:rPr>
                <w:rFonts w:ascii="Times New Roman" w:hAnsi="Times New Roman"/>
                <w:sz w:val="22"/>
              </w:rPr>
              <w:t xml:space="preserve">    5.3 Empirical Observations and Edge Case Findings</w:t>
            </w:r>
          </w:p>
        </w:tc>
        <w:tc>
          <w:tcPr>
            <w:tcW w:type="dxa" w:w="4514"/>
          </w:tcPr>
          <w:p>
            <w:pPr>
              <w:spacing w:line="276" w:lineRule="auto" w:after="40"/>
              <w:jc w:val="right"/>
            </w:pPr>
            <w:r>
              <w:rPr>
                <w:rFonts w:ascii="Times New Roman" w:hAnsi="Times New Roman"/>
                <w:sz w:val="22"/>
              </w:rPr>
              <w:t>48</w:t>
            </w:r>
          </w:p>
        </w:tc>
      </w:tr>
      <w:tr>
        <w:tc>
          <w:tcPr>
            <w:tcW w:type="dxa" w:w="4514"/>
          </w:tcPr>
          <w:p>
            <w:pPr>
              <w:spacing w:line="276" w:lineRule="auto" w:after="40"/>
            </w:pPr>
            <w:r>
              <w:rPr>
                <w:rFonts w:ascii="Times New Roman" w:hAnsi="Times New Roman"/>
                <w:sz w:val="22"/>
              </w:rPr>
              <w:t xml:space="preserve">    5.4 Screen Captures and Verification Outputs</w:t>
            </w:r>
          </w:p>
        </w:tc>
        <w:tc>
          <w:tcPr>
            <w:tcW w:type="dxa" w:w="4514"/>
          </w:tcPr>
          <w:p>
            <w:pPr>
              <w:spacing w:line="276" w:lineRule="auto" w:after="40"/>
              <w:jc w:val="right"/>
            </w:pPr>
            <w:r>
              <w:rPr>
                <w:rFonts w:ascii="Times New Roman" w:hAnsi="Times New Roman"/>
                <w:sz w:val="22"/>
              </w:rPr>
              <w:t>50</w:t>
            </w:r>
          </w:p>
        </w:tc>
      </w:tr>
      <w:tr>
        <w:tc>
          <w:tcPr>
            <w:tcW w:type="dxa" w:w="4514"/>
          </w:tcPr>
          <w:p>
            <w:pPr>
              <w:spacing w:line="276" w:lineRule="auto" w:after="40"/>
            </w:pPr>
            <w:r>
              <w:rPr>
                <w:rFonts w:ascii="Times New Roman" w:hAnsi="Times New Roman"/>
                <w:b/>
                <w:sz w:val="22"/>
              </w:rPr>
              <w:t>CHAPTER 6: CONCLUSIONS AND FUTURE WORK</w:t>
            </w:r>
          </w:p>
        </w:tc>
        <w:tc>
          <w:tcPr>
            <w:tcW w:type="dxa" w:w="4514"/>
          </w:tcPr>
          <w:p>
            <w:pPr>
              <w:spacing w:line="276" w:lineRule="auto" w:after="40"/>
              <w:jc w:val="right"/>
            </w:pPr>
            <w:r>
              <w:rPr>
                <w:rFonts w:ascii="Times New Roman" w:hAnsi="Times New Roman"/>
                <w:b/>
                <w:sz w:val="22"/>
              </w:rPr>
              <w:t>53</w:t>
            </w:r>
          </w:p>
        </w:tc>
      </w:tr>
      <w:tr>
        <w:tc>
          <w:tcPr>
            <w:tcW w:type="dxa" w:w="4514"/>
          </w:tcPr>
          <w:p>
            <w:pPr>
              <w:spacing w:line="276" w:lineRule="auto" w:after="40"/>
            </w:pPr>
            <w:r>
              <w:rPr>
                <w:rFonts w:ascii="Times New Roman" w:hAnsi="Times New Roman"/>
                <w:sz w:val="22"/>
              </w:rPr>
              <w:t xml:space="preserve">    6.1 Conclusions</w:t>
            </w:r>
          </w:p>
        </w:tc>
        <w:tc>
          <w:tcPr>
            <w:tcW w:type="dxa" w:w="4514"/>
          </w:tcPr>
          <w:p>
            <w:pPr>
              <w:spacing w:line="276" w:lineRule="auto" w:after="40"/>
              <w:jc w:val="right"/>
            </w:pPr>
            <w:r>
              <w:rPr>
                <w:rFonts w:ascii="Times New Roman" w:hAnsi="Times New Roman"/>
                <w:sz w:val="22"/>
              </w:rPr>
              <w:t>53</w:t>
            </w:r>
          </w:p>
        </w:tc>
      </w:tr>
      <w:tr>
        <w:tc>
          <w:tcPr>
            <w:tcW w:type="dxa" w:w="4514"/>
          </w:tcPr>
          <w:p>
            <w:pPr>
              <w:spacing w:line="276" w:lineRule="auto" w:after="40"/>
            </w:pPr>
            <w:r>
              <w:rPr>
                <w:rFonts w:ascii="Times New Roman" w:hAnsi="Times New Roman"/>
                <w:sz w:val="22"/>
              </w:rPr>
              <w:t xml:space="preserve">        6.1.1 Confirmed Technical Limitations</w:t>
            </w:r>
          </w:p>
        </w:tc>
        <w:tc>
          <w:tcPr>
            <w:tcW w:type="dxa" w:w="4514"/>
          </w:tcPr>
          <w:p>
            <w:pPr>
              <w:spacing w:line="276" w:lineRule="auto" w:after="40"/>
              <w:jc w:val="right"/>
            </w:pPr>
            <w:r>
              <w:rPr>
                <w:rFonts w:ascii="Times New Roman" w:hAnsi="Times New Roman"/>
                <w:sz w:val="22"/>
              </w:rPr>
              <w:t>54</w:t>
            </w:r>
          </w:p>
        </w:tc>
      </w:tr>
      <w:tr>
        <w:tc>
          <w:tcPr>
            <w:tcW w:type="dxa" w:w="4514"/>
          </w:tcPr>
          <w:p>
            <w:pPr>
              <w:spacing w:line="276" w:lineRule="auto" w:after="40"/>
            </w:pPr>
            <w:r>
              <w:rPr>
                <w:rFonts w:ascii="Times New Roman" w:hAnsi="Times New Roman"/>
                <w:sz w:val="22"/>
              </w:rPr>
              <w:t xml:space="preserve">    6.2 Recommendations and Future Work</w:t>
            </w:r>
          </w:p>
        </w:tc>
        <w:tc>
          <w:tcPr>
            <w:tcW w:type="dxa" w:w="4514"/>
          </w:tcPr>
          <w:p>
            <w:pPr>
              <w:spacing w:line="276" w:lineRule="auto" w:after="40"/>
              <w:jc w:val="right"/>
            </w:pPr>
            <w:r>
              <w:rPr>
                <w:rFonts w:ascii="Times New Roman" w:hAnsi="Times New Roman"/>
                <w:sz w:val="22"/>
              </w:rPr>
              <w:t>55</w:t>
            </w:r>
          </w:p>
        </w:tc>
      </w:tr>
      <w:tr>
        <w:tc>
          <w:tcPr>
            <w:tcW w:type="dxa" w:w="4514"/>
          </w:tcPr>
          <w:p>
            <w:pPr>
              <w:spacing w:line="276" w:lineRule="auto" w:after="40"/>
            </w:pPr>
            <w:r>
              <w:rPr>
                <w:rFonts w:ascii="Times New Roman" w:hAnsi="Times New Roman"/>
                <w:b/>
                <w:sz w:val="22"/>
              </w:rPr>
              <w:t>REFERENCES</w:t>
            </w:r>
          </w:p>
        </w:tc>
        <w:tc>
          <w:tcPr>
            <w:tcW w:type="dxa" w:w="4514"/>
          </w:tcPr>
          <w:p>
            <w:pPr>
              <w:spacing w:line="276" w:lineRule="auto" w:after="40"/>
              <w:jc w:val="right"/>
            </w:pPr>
            <w:r>
              <w:rPr>
                <w:rFonts w:ascii="Times New Roman" w:hAnsi="Times New Roman"/>
                <w:sz w:val="22"/>
              </w:rPr>
              <w:t>57</w:t>
            </w:r>
          </w:p>
        </w:tc>
      </w:tr>
      <w:tr>
        <w:tc>
          <w:tcPr>
            <w:tcW w:type="dxa" w:w="4514"/>
          </w:tcPr>
          <w:p>
            <w:pPr>
              <w:spacing w:line="276" w:lineRule="auto" w:after="40"/>
            </w:pPr>
            <w:r>
              <w:rPr>
                <w:rFonts w:ascii="Times New Roman" w:hAnsi="Times New Roman"/>
                <w:sz w:val="22"/>
              </w:rPr>
              <w:t>APPENDICES</w:t>
            </w:r>
          </w:p>
        </w:tc>
        <w:tc>
          <w:tcPr>
            <w:tcW w:type="dxa" w:w="4514"/>
          </w:tcPr>
          <w:p>
            <w:pPr>
              <w:spacing w:line="276" w:lineRule="auto" w:after="40"/>
              <w:jc w:val="right"/>
            </w:pPr>
            <w:r>
              <w:rPr>
                <w:rFonts w:ascii="Times New Roman" w:hAnsi="Times New Roman"/>
                <w:sz w:val="22"/>
              </w:rPr>
              <w:t>60</w:t>
            </w:r>
          </w:p>
        </w:tc>
      </w:tr>
      <w:tr>
        <w:tc>
          <w:tcPr>
            <w:tcW w:type="dxa" w:w="4514"/>
          </w:tcPr>
          <w:p>
            <w:pPr>
              <w:spacing w:line="276" w:lineRule="auto" w:after="40"/>
            </w:pPr>
            <w:r>
              <w:rPr>
                <w:rFonts w:ascii="Times New Roman" w:hAnsi="Times New Roman"/>
                <w:sz w:val="22"/>
              </w:rPr>
              <w:t xml:space="preserve">    Appendix A: Core Source Code Extracts</w:t>
            </w:r>
          </w:p>
        </w:tc>
        <w:tc>
          <w:tcPr>
            <w:tcW w:type="dxa" w:w="4514"/>
          </w:tcPr>
          <w:p>
            <w:pPr>
              <w:spacing w:line="276" w:lineRule="auto" w:after="40"/>
              <w:jc w:val="right"/>
            </w:pPr>
            <w:r>
              <w:rPr>
                <w:rFonts w:ascii="Times New Roman" w:hAnsi="Times New Roman"/>
                <w:sz w:val="22"/>
              </w:rPr>
              <w:t>60</w:t>
            </w:r>
          </w:p>
        </w:tc>
      </w:tr>
      <w:tr>
        <w:tc>
          <w:tcPr>
            <w:tcW w:type="dxa" w:w="4514"/>
          </w:tcPr>
          <w:p>
            <w:pPr>
              <w:spacing w:line="276" w:lineRule="auto" w:after="40"/>
            </w:pPr>
            <w:r>
              <w:rPr>
                <w:rFonts w:ascii="Times New Roman" w:hAnsi="Times New Roman"/>
                <w:sz w:val="22"/>
              </w:rPr>
              <w:t xml:space="preserve">    Appendix B: Deployment &amp; Verification Runbook</w:t>
            </w:r>
          </w:p>
        </w:tc>
        <w:tc>
          <w:tcPr>
            <w:tcW w:type="dxa" w:w="4514"/>
          </w:tcPr>
          <w:p>
            <w:pPr>
              <w:spacing w:line="276" w:lineRule="auto" w:after="40"/>
              <w:jc w:val="right"/>
            </w:pPr>
            <w:r>
              <w:rPr>
                <w:rFonts w:ascii="Times New Roman" w:hAnsi="Times New Roman"/>
                <w:sz w:val="22"/>
              </w:rPr>
              <w:t>63</w:t>
            </w:r>
          </w:p>
        </w:tc>
      </w:tr>
    </w:tbl>
    <w:p>
      <w:r>
        <w:br w:type="page"/>
      </w:r>
    </w:p>
    <w:p>
      <w:pPr>
        <w:pStyle w:val="Heading1"/>
        <w:keepNext/>
        <w:spacing w:before="280" w:after="120"/>
        <w:jc w:val="center"/>
      </w:pPr>
      <w:r>
        <w:rPr>
          <w:rFonts w:ascii="Times New Roman" w:hAnsi="Times New Roman"/>
          <w:b/>
          <w:color w:val="0F172A"/>
          <w:sz w:val="32"/>
        </w:rPr>
        <w:t>LIST OF FIGURES</w:t>
      </w:r>
    </w:p>
    <w:tbl>
      <w:tblPr>
        <w:tblW w:type="auto" w:w="0"/>
        <w:jc w:val="center"/>
        <w:tblLook w:firstColumn="1" w:firstRow="1" w:lastColumn="0" w:lastRow="0" w:noHBand="0" w:noVBand="1" w:val="04A0"/>
      </w:tblPr>
      <w:tblGrid>
        <w:gridCol w:w="3010"/>
        <w:gridCol w:w="3010"/>
        <w:gridCol w:w="3010"/>
      </w:tblGrid>
      <w:tr>
        <w:tc>
          <w:tcPr>
            <w:tcW w:type="dxa" w:w="3010"/>
          </w:tcPr>
          <w:p>
            <w:r>
              <w:rPr>
                <w:rFonts w:ascii="Times New Roman" w:hAnsi="Times New Roman"/>
                <w:b/>
                <w:sz w:val="21"/>
              </w:rPr>
              <w:t>Figure 1.1</w:t>
            </w:r>
          </w:p>
        </w:tc>
        <w:tc>
          <w:tcPr>
            <w:tcW w:type="dxa" w:w="3010"/>
          </w:tcPr>
          <w:p>
            <w:r>
              <w:rPr>
                <w:rFonts w:ascii="Times New Roman" w:hAnsi="Times New Roman"/>
                <w:sz w:val="21"/>
              </w:rPr>
              <w:t>The Commercial Insurance Truth Triad (Promised, Documented, Paid)</w:t>
            </w:r>
          </w:p>
        </w:tc>
        <w:tc>
          <w:tcPr>
            <w:tcW w:type="dxa" w:w="3010"/>
          </w:tcPr>
          <w:p>
            <w:pPr>
              <w:jc w:val="right"/>
            </w:pPr>
            <w:r>
              <w:rPr>
                <w:rFonts w:ascii="Times New Roman" w:hAnsi="Times New Roman"/>
                <w:sz w:val="21"/>
              </w:rPr>
              <w:t>2</w:t>
            </w:r>
          </w:p>
        </w:tc>
      </w:tr>
      <w:tr>
        <w:tc>
          <w:tcPr>
            <w:tcW w:type="dxa" w:w="3010"/>
          </w:tcPr>
          <w:p>
            <w:r>
              <w:rPr>
                <w:rFonts w:ascii="Times New Roman" w:hAnsi="Times New Roman"/>
                <w:b/>
                <w:sz w:val="21"/>
              </w:rPr>
              <w:t>Figure 3.1</w:t>
            </w:r>
          </w:p>
        </w:tc>
        <w:tc>
          <w:tcPr>
            <w:tcW w:type="dxa" w:w="3010"/>
          </w:tcPr>
          <w:p>
            <w:r>
              <w:rPr>
                <w:rFonts w:ascii="Times New Roman" w:hAnsi="Times New Roman"/>
                <w:sz w:val="21"/>
              </w:rPr>
              <w:t>Coverage Truth Layer Complete Hybrid System Architecture</w:t>
            </w:r>
          </w:p>
        </w:tc>
        <w:tc>
          <w:tcPr>
            <w:tcW w:type="dxa" w:w="3010"/>
          </w:tcPr>
          <w:p>
            <w:pPr>
              <w:jc w:val="right"/>
            </w:pPr>
            <w:r>
              <w:rPr>
                <w:rFonts w:ascii="Times New Roman" w:hAnsi="Times New Roman"/>
                <w:sz w:val="21"/>
              </w:rPr>
              <w:t>20</w:t>
            </w:r>
          </w:p>
        </w:tc>
      </w:tr>
      <w:tr>
        <w:tc>
          <w:tcPr>
            <w:tcW w:type="dxa" w:w="3010"/>
          </w:tcPr>
          <w:p>
            <w:r>
              <w:rPr>
                <w:rFonts w:ascii="Times New Roman" w:hAnsi="Times New Roman"/>
                <w:b/>
                <w:sz w:val="21"/>
              </w:rPr>
              <w:t>Figure 3.2</w:t>
            </w:r>
          </w:p>
        </w:tc>
        <w:tc>
          <w:tcPr>
            <w:tcW w:type="dxa" w:w="3010"/>
          </w:tcPr>
          <w:p>
            <w:r>
              <w:rPr>
                <w:rFonts w:ascii="Times New Roman" w:hAnsi="Times New Roman"/>
                <w:sz w:val="21"/>
              </w:rPr>
              <w:t>Context Level 0 Data Flow Diagram</w:t>
            </w:r>
          </w:p>
        </w:tc>
        <w:tc>
          <w:tcPr>
            <w:tcW w:type="dxa" w:w="3010"/>
          </w:tcPr>
          <w:p>
            <w:pPr>
              <w:jc w:val="right"/>
            </w:pPr>
            <w:r>
              <w:rPr>
                <w:rFonts w:ascii="Times New Roman" w:hAnsi="Times New Roman"/>
                <w:sz w:val="21"/>
              </w:rPr>
              <w:t>27</w:t>
            </w:r>
          </w:p>
        </w:tc>
      </w:tr>
      <w:tr>
        <w:tc>
          <w:tcPr>
            <w:tcW w:type="dxa" w:w="3010"/>
          </w:tcPr>
          <w:p>
            <w:r>
              <w:rPr>
                <w:rFonts w:ascii="Times New Roman" w:hAnsi="Times New Roman"/>
                <w:b/>
                <w:sz w:val="21"/>
              </w:rPr>
              <w:t>Figure 3.3</w:t>
            </w:r>
          </w:p>
        </w:tc>
        <w:tc>
          <w:tcPr>
            <w:tcW w:type="dxa" w:w="3010"/>
          </w:tcPr>
          <w:p>
            <w:r>
              <w:rPr>
                <w:rFonts w:ascii="Times New Roman" w:hAnsi="Times New Roman"/>
                <w:sz w:val="21"/>
              </w:rPr>
              <w:t>Level 1 Data Flow Diagram (Functional Decomposition)</w:t>
            </w:r>
          </w:p>
        </w:tc>
        <w:tc>
          <w:tcPr>
            <w:tcW w:type="dxa" w:w="3010"/>
          </w:tcPr>
          <w:p>
            <w:pPr>
              <w:jc w:val="right"/>
            </w:pPr>
            <w:r>
              <w:rPr>
                <w:rFonts w:ascii="Times New Roman" w:hAnsi="Times New Roman"/>
                <w:sz w:val="21"/>
              </w:rPr>
              <w:t>28</w:t>
            </w:r>
          </w:p>
        </w:tc>
      </w:tr>
      <w:tr>
        <w:tc>
          <w:tcPr>
            <w:tcW w:type="dxa" w:w="3010"/>
          </w:tcPr>
          <w:p>
            <w:r>
              <w:rPr>
                <w:rFonts w:ascii="Times New Roman" w:hAnsi="Times New Roman"/>
                <w:b/>
                <w:sz w:val="21"/>
              </w:rPr>
              <w:t>Figure 3.4</w:t>
            </w:r>
          </w:p>
        </w:tc>
        <w:tc>
          <w:tcPr>
            <w:tcW w:type="dxa" w:w="3010"/>
          </w:tcPr>
          <w:p>
            <w:r>
              <w:rPr>
                <w:rFonts w:ascii="Times New Roman" w:hAnsi="Times New Roman"/>
                <w:sz w:val="21"/>
              </w:rPr>
              <w:t>UML Use Case Diagram for Coverage Truth Layer System</w:t>
            </w:r>
          </w:p>
        </w:tc>
        <w:tc>
          <w:tcPr>
            <w:tcW w:type="dxa" w:w="3010"/>
          </w:tcPr>
          <w:p>
            <w:pPr>
              <w:jc w:val="right"/>
            </w:pPr>
            <w:r>
              <w:rPr>
                <w:rFonts w:ascii="Times New Roman" w:hAnsi="Times New Roman"/>
                <w:sz w:val="21"/>
              </w:rPr>
              <w:t>30</w:t>
            </w:r>
          </w:p>
        </w:tc>
      </w:tr>
      <w:tr>
        <w:tc>
          <w:tcPr>
            <w:tcW w:type="dxa" w:w="3010"/>
          </w:tcPr>
          <w:p>
            <w:r>
              <w:rPr>
                <w:rFonts w:ascii="Times New Roman" w:hAnsi="Times New Roman"/>
                <w:b/>
                <w:sz w:val="21"/>
              </w:rPr>
              <w:t>Figure 4.1</w:t>
            </w:r>
          </w:p>
        </w:tc>
        <w:tc>
          <w:tcPr>
            <w:tcW w:type="dxa" w:w="3010"/>
          </w:tcPr>
          <w:p>
            <w:r>
              <w:rPr>
                <w:rFonts w:ascii="Times New Roman" w:hAnsi="Times New Roman"/>
                <w:sz w:val="21"/>
              </w:rPr>
              <w:t>Reconciliation and Escalation Methodology Flowchart</w:t>
            </w:r>
          </w:p>
        </w:tc>
        <w:tc>
          <w:tcPr>
            <w:tcW w:type="dxa" w:w="3010"/>
          </w:tcPr>
          <w:p>
            <w:pPr>
              <w:jc w:val="right"/>
            </w:pPr>
            <w:r>
              <w:rPr>
                <w:rFonts w:ascii="Times New Roman" w:hAnsi="Times New Roman"/>
                <w:sz w:val="21"/>
              </w:rPr>
              <w:t>34</w:t>
            </w:r>
          </w:p>
        </w:tc>
      </w:tr>
      <w:tr>
        <w:tc>
          <w:tcPr>
            <w:tcW w:type="dxa" w:w="3010"/>
          </w:tcPr>
          <w:p>
            <w:r>
              <w:rPr>
                <w:rFonts w:ascii="Times New Roman" w:hAnsi="Times New Roman"/>
                <w:b/>
                <w:sz w:val="21"/>
              </w:rPr>
              <w:t>Figure 5.1</w:t>
            </w:r>
          </w:p>
        </w:tc>
        <w:tc>
          <w:tcPr>
            <w:tcW w:type="dxa" w:w="3010"/>
          </w:tcPr>
          <w:p>
            <w:r>
              <w:rPr>
                <w:rFonts w:ascii="Times New Roman" w:hAnsi="Times New Roman"/>
                <w:sz w:val="21"/>
              </w:rPr>
              <w:t>Cinematic Landing Page Hero with Three-Document Live Ingestion Flow</w:t>
            </w:r>
          </w:p>
        </w:tc>
        <w:tc>
          <w:tcPr>
            <w:tcW w:type="dxa" w:w="3010"/>
          </w:tcPr>
          <w:p>
            <w:pPr>
              <w:jc w:val="right"/>
            </w:pPr>
            <w:r>
              <w:rPr>
                <w:rFonts w:ascii="Times New Roman" w:hAnsi="Times New Roman"/>
                <w:sz w:val="21"/>
              </w:rPr>
              <w:t>50</w:t>
            </w:r>
          </w:p>
        </w:tc>
      </w:tr>
      <w:tr>
        <w:tc>
          <w:tcPr>
            <w:tcW w:type="dxa" w:w="3010"/>
          </w:tcPr>
          <w:p>
            <w:r>
              <w:rPr>
                <w:rFonts w:ascii="Times New Roman" w:hAnsi="Times New Roman"/>
                <w:b/>
                <w:sz w:val="21"/>
              </w:rPr>
              <w:t>Figure 5.2</w:t>
            </w:r>
          </w:p>
        </w:tc>
        <w:tc>
          <w:tcPr>
            <w:tcW w:type="dxa" w:w="3010"/>
          </w:tcPr>
          <w:p>
            <w:r>
              <w:rPr>
                <w:rFonts w:ascii="Times New Roman" w:hAnsi="Times New Roman"/>
                <w:sz w:val="21"/>
              </w:rPr>
              <w:t>Side-by-Side Wording Diff with Color-Coded Discrepancy Highlights</w:t>
            </w:r>
          </w:p>
        </w:tc>
        <w:tc>
          <w:tcPr>
            <w:tcW w:type="dxa" w:w="3010"/>
          </w:tcPr>
          <w:p>
            <w:pPr>
              <w:jc w:val="right"/>
            </w:pPr>
            <w:r>
              <w:rPr>
                <w:rFonts w:ascii="Times New Roman" w:hAnsi="Times New Roman"/>
                <w:sz w:val="21"/>
              </w:rPr>
              <w:t>51</w:t>
            </w:r>
          </w:p>
        </w:tc>
      </w:tr>
      <w:tr>
        <w:tc>
          <w:tcPr>
            <w:tcW w:type="dxa" w:w="3010"/>
          </w:tcPr>
          <w:p>
            <w:r>
              <w:rPr>
                <w:rFonts w:ascii="Times New Roman" w:hAnsi="Times New Roman"/>
                <w:b/>
                <w:sz w:val="21"/>
              </w:rPr>
              <w:t>Figure 5.3</w:t>
            </w:r>
          </w:p>
        </w:tc>
        <w:tc>
          <w:tcPr>
            <w:tcW w:type="dxa" w:w="3010"/>
          </w:tcPr>
          <w:p>
            <w:r>
              <w:rPr>
                <w:rFonts w:ascii="Times New Roman" w:hAnsi="Times New Roman"/>
                <w:sz w:val="21"/>
              </w:rPr>
              <w:t>Evidence Traceability Inspector with Autonomous Agent Audit Trail</w:t>
            </w:r>
          </w:p>
        </w:tc>
        <w:tc>
          <w:tcPr>
            <w:tcW w:type="dxa" w:w="3010"/>
          </w:tcPr>
          <w:p>
            <w:pPr>
              <w:jc w:val="right"/>
            </w:pPr>
            <w:r>
              <w:rPr>
                <w:rFonts w:ascii="Times New Roman" w:hAnsi="Times New Roman"/>
                <w:sz w:val="21"/>
              </w:rPr>
              <w:t>51</w:t>
            </w:r>
          </w:p>
        </w:tc>
      </w:tr>
      <w:tr>
        <w:tc>
          <w:tcPr>
            <w:tcW w:type="dxa" w:w="3010"/>
          </w:tcPr>
          <w:p>
            <w:r>
              <w:rPr>
                <w:rFonts w:ascii="Times New Roman" w:hAnsi="Times New Roman"/>
                <w:b/>
                <w:sz w:val="21"/>
              </w:rPr>
              <w:t>Figure 5.4</w:t>
            </w:r>
          </w:p>
        </w:tc>
        <w:tc>
          <w:tcPr>
            <w:tcW w:type="dxa" w:w="3010"/>
          </w:tcPr>
          <w:p>
            <w:r>
              <w:rPr>
                <w:rFonts w:ascii="Times New Roman" w:hAnsi="Times New Roman"/>
                <w:sz w:val="21"/>
              </w:rPr>
              <w:t>Underwriter Human-Review Console with LocalStorage Ledger Persistence</w:t>
            </w:r>
          </w:p>
        </w:tc>
        <w:tc>
          <w:tcPr>
            <w:tcW w:type="dxa" w:w="3010"/>
          </w:tcPr>
          <w:p>
            <w:pPr>
              <w:jc w:val="right"/>
            </w:pPr>
            <w:r>
              <w:rPr>
                <w:rFonts w:ascii="Times New Roman" w:hAnsi="Times New Roman"/>
                <w:sz w:val="21"/>
              </w:rPr>
              <w:t>52</w:t>
            </w:r>
          </w:p>
        </w:tc>
      </w:tr>
    </w:tbl>
    <w:p>
      <w:pPr>
        <w:spacing w:after="360"/>
      </w:pPr>
    </w:p>
    <w:p>
      <w:pPr>
        <w:pStyle w:val="Heading1"/>
        <w:keepNext/>
        <w:spacing w:before="280" w:after="120"/>
        <w:jc w:val="center"/>
      </w:pPr>
      <w:r>
        <w:rPr>
          <w:rFonts w:ascii="Times New Roman" w:hAnsi="Times New Roman"/>
          <w:b/>
          <w:color w:val="0F172A"/>
          <w:sz w:val="32"/>
        </w:rPr>
        <w:t>LIST OF TABLES</w:t>
      </w:r>
    </w:p>
    <w:tbl>
      <w:tblPr>
        <w:tblW w:type="auto" w:w="0"/>
        <w:jc w:val="center"/>
        <w:tblLook w:firstColumn="1" w:firstRow="1" w:lastColumn="0" w:lastRow="0" w:noHBand="0" w:noVBand="1" w:val="04A0"/>
      </w:tblPr>
      <w:tblGrid>
        <w:gridCol w:w="3010"/>
        <w:gridCol w:w="3010"/>
        <w:gridCol w:w="3010"/>
      </w:tblGrid>
      <w:tr>
        <w:tc>
          <w:tcPr>
            <w:tcW w:type="dxa" w:w="3010"/>
          </w:tcPr>
          <w:p>
            <w:r>
              <w:rPr>
                <w:rFonts w:ascii="Times New Roman" w:hAnsi="Times New Roman"/>
                <w:b/>
                <w:sz w:val="21"/>
              </w:rPr>
              <w:t>Table 2.1</w:t>
            </w:r>
          </w:p>
        </w:tc>
        <w:tc>
          <w:tcPr>
            <w:tcW w:type="dxa" w:w="3010"/>
          </w:tcPr>
          <w:p>
            <w:r>
              <w:rPr>
                <w:rFonts w:ascii="Times New Roman" w:hAnsi="Times New Roman"/>
                <w:sz w:val="21"/>
              </w:rPr>
              <w:t>Comparative Analysis of Existing Insurance Document Solutions</w:t>
            </w:r>
          </w:p>
        </w:tc>
        <w:tc>
          <w:tcPr>
            <w:tcW w:type="dxa" w:w="3010"/>
          </w:tcPr>
          <w:p>
            <w:pPr>
              <w:jc w:val="right"/>
            </w:pPr>
            <w:r>
              <w:rPr>
                <w:rFonts w:ascii="Times New Roman" w:hAnsi="Times New Roman"/>
                <w:sz w:val="21"/>
              </w:rPr>
              <w:t>12</w:t>
            </w:r>
          </w:p>
        </w:tc>
      </w:tr>
      <w:tr>
        <w:tc>
          <w:tcPr>
            <w:tcW w:type="dxa" w:w="3010"/>
          </w:tcPr>
          <w:p>
            <w:r>
              <w:rPr>
                <w:rFonts w:ascii="Times New Roman" w:hAnsi="Times New Roman"/>
                <w:b/>
                <w:sz w:val="21"/>
              </w:rPr>
              <w:t>Table 3.1</w:t>
            </w:r>
          </w:p>
        </w:tc>
        <w:tc>
          <w:tcPr>
            <w:tcW w:type="dxa" w:w="3010"/>
          </w:tcPr>
          <w:p>
            <w:r>
              <w:rPr>
                <w:rFonts w:ascii="Times New Roman" w:hAnsi="Times New Roman"/>
                <w:sz w:val="21"/>
              </w:rPr>
              <w:t>Software Requirements Specifications</w:t>
            </w:r>
          </w:p>
        </w:tc>
        <w:tc>
          <w:tcPr>
            <w:tcW w:type="dxa" w:w="3010"/>
          </w:tcPr>
          <w:p>
            <w:pPr>
              <w:jc w:val="right"/>
            </w:pPr>
            <w:r>
              <w:rPr>
                <w:rFonts w:ascii="Times New Roman" w:hAnsi="Times New Roman"/>
                <w:sz w:val="21"/>
              </w:rPr>
              <w:t>22</w:t>
            </w:r>
          </w:p>
        </w:tc>
      </w:tr>
      <w:tr>
        <w:tc>
          <w:tcPr>
            <w:tcW w:type="dxa" w:w="3010"/>
          </w:tcPr>
          <w:p>
            <w:r>
              <w:rPr>
                <w:rFonts w:ascii="Times New Roman" w:hAnsi="Times New Roman"/>
                <w:b/>
                <w:sz w:val="21"/>
              </w:rPr>
              <w:t>Table 3.2</w:t>
            </w:r>
          </w:p>
        </w:tc>
        <w:tc>
          <w:tcPr>
            <w:tcW w:type="dxa" w:w="3010"/>
          </w:tcPr>
          <w:p>
            <w:r>
              <w:rPr>
                <w:rFonts w:ascii="Times New Roman" w:hAnsi="Times New Roman"/>
                <w:sz w:val="21"/>
              </w:rPr>
              <w:t>Hardware Requirements Specifications</w:t>
            </w:r>
          </w:p>
        </w:tc>
        <w:tc>
          <w:tcPr>
            <w:tcW w:type="dxa" w:w="3010"/>
          </w:tcPr>
          <w:p>
            <w:pPr>
              <w:jc w:val="right"/>
            </w:pPr>
            <w:r>
              <w:rPr>
                <w:rFonts w:ascii="Times New Roman" w:hAnsi="Times New Roman"/>
                <w:sz w:val="21"/>
              </w:rPr>
              <w:t>23</w:t>
            </w:r>
          </w:p>
        </w:tc>
      </w:tr>
      <w:tr>
        <w:tc>
          <w:tcPr>
            <w:tcW w:type="dxa" w:w="3010"/>
          </w:tcPr>
          <w:p>
            <w:r>
              <w:rPr>
                <w:rFonts w:ascii="Times New Roman" w:hAnsi="Times New Roman"/>
                <w:b/>
                <w:sz w:val="21"/>
              </w:rPr>
              <w:t>Table 3.3</w:t>
            </w:r>
          </w:p>
        </w:tc>
        <w:tc>
          <w:tcPr>
            <w:tcW w:type="dxa" w:w="3010"/>
          </w:tcPr>
          <w:p>
            <w:r>
              <w:rPr>
                <w:rFonts w:ascii="Times New Roman" w:hAnsi="Times New Roman"/>
                <w:sz w:val="21"/>
              </w:rPr>
              <w:t>System Modules Functional Specification &amp; Status</w:t>
            </w:r>
          </w:p>
        </w:tc>
        <w:tc>
          <w:tcPr>
            <w:tcW w:type="dxa" w:w="3010"/>
          </w:tcPr>
          <w:p>
            <w:pPr>
              <w:jc w:val="right"/>
            </w:pPr>
            <w:r>
              <w:rPr>
                <w:rFonts w:ascii="Times New Roman" w:hAnsi="Times New Roman"/>
                <w:sz w:val="21"/>
              </w:rPr>
              <w:t>25</w:t>
            </w:r>
          </w:p>
        </w:tc>
      </w:tr>
      <w:tr>
        <w:tc>
          <w:tcPr>
            <w:tcW w:type="dxa" w:w="3010"/>
          </w:tcPr>
          <w:p>
            <w:r>
              <w:rPr>
                <w:rFonts w:ascii="Times New Roman" w:hAnsi="Times New Roman"/>
                <w:b/>
                <w:sz w:val="21"/>
              </w:rPr>
              <w:t>Table 4.1</w:t>
            </w:r>
          </w:p>
        </w:tc>
        <w:tc>
          <w:tcPr>
            <w:tcW w:type="dxa" w:w="3010"/>
          </w:tcPr>
          <w:p>
            <w:r>
              <w:rPr>
                <w:rFonts w:ascii="Times New Roman" w:hAnsi="Times New Roman"/>
                <w:sz w:val="21"/>
              </w:rPr>
              <w:t>Fictional Commercial Property Policy Dataset Profile</w:t>
            </w:r>
          </w:p>
        </w:tc>
        <w:tc>
          <w:tcPr>
            <w:tcW w:type="dxa" w:w="3010"/>
          </w:tcPr>
          <w:p>
            <w:pPr>
              <w:jc w:val="right"/>
            </w:pPr>
            <w:r>
              <w:rPr>
                <w:rFonts w:ascii="Times New Roman" w:hAnsi="Times New Roman"/>
                <w:sz w:val="21"/>
              </w:rPr>
              <w:t>37</w:t>
            </w:r>
          </w:p>
        </w:tc>
      </w:tr>
      <w:tr>
        <w:tc>
          <w:tcPr>
            <w:tcW w:type="dxa" w:w="3010"/>
          </w:tcPr>
          <w:p>
            <w:r>
              <w:rPr>
                <w:rFonts w:ascii="Times New Roman" w:hAnsi="Times New Roman"/>
                <w:b/>
                <w:sz w:val="21"/>
              </w:rPr>
              <w:t>Table 5.1</w:t>
            </w:r>
          </w:p>
        </w:tc>
        <w:tc>
          <w:tcPr>
            <w:tcW w:type="dxa" w:w="3010"/>
          </w:tcPr>
          <w:p>
            <w:r>
              <w:rPr>
                <w:rFonts w:ascii="Times New Roman" w:hAnsi="Times New Roman"/>
                <w:sz w:val="21"/>
              </w:rPr>
              <w:t>Comprehensive System Test Case Execution Ledger</w:t>
            </w:r>
          </w:p>
        </w:tc>
        <w:tc>
          <w:tcPr>
            <w:tcW w:type="dxa" w:w="3010"/>
          </w:tcPr>
          <w:p>
            <w:pPr>
              <w:jc w:val="right"/>
            </w:pPr>
            <w:r>
              <w:rPr>
                <w:rFonts w:ascii="Times New Roman" w:hAnsi="Times New Roman"/>
                <w:sz w:val="21"/>
              </w:rPr>
              <w:t>44</w:t>
            </w:r>
          </w:p>
        </w:tc>
      </w:tr>
      <w:tr>
        <w:tc>
          <w:tcPr>
            <w:tcW w:type="dxa" w:w="3010"/>
          </w:tcPr>
          <w:p>
            <w:r>
              <w:rPr>
                <w:rFonts w:ascii="Times New Roman" w:hAnsi="Times New Roman"/>
                <w:b/>
                <w:sz w:val="21"/>
              </w:rPr>
              <w:t>Table 5.2</w:t>
            </w:r>
          </w:p>
        </w:tc>
        <w:tc>
          <w:tcPr>
            <w:tcW w:type="dxa" w:w="3010"/>
          </w:tcPr>
          <w:p>
            <w:r>
              <w:rPr>
                <w:rFonts w:ascii="Times New Roman" w:hAnsi="Times New Roman"/>
                <w:sz w:val="21"/>
              </w:rPr>
              <w:t>Enterprise Pilot Measurement Metrics &amp; Target Benchmarks</w:t>
            </w:r>
          </w:p>
        </w:tc>
        <w:tc>
          <w:tcPr>
            <w:tcW w:type="dxa" w:w="3010"/>
          </w:tcPr>
          <w:p>
            <w:pPr>
              <w:jc w:val="right"/>
            </w:pPr>
            <w:r>
              <w:rPr>
                <w:rFonts w:ascii="Times New Roman" w:hAnsi="Times New Roman"/>
                <w:sz w:val="21"/>
              </w:rPr>
              <w:t>47</w:t>
            </w:r>
          </w:p>
        </w:tc>
      </w:tr>
    </w:tbl>
    <w:p>
      <w:pPr>
        <w:spacing w:after="360"/>
      </w:pPr>
    </w:p>
    <w:p>
      <w:pPr>
        <w:pStyle w:val="Heading1"/>
        <w:keepNext/>
        <w:spacing w:before="280" w:after="120"/>
        <w:jc w:val="center"/>
      </w:pPr>
      <w:r>
        <w:rPr>
          <w:rFonts w:ascii="Times New Roman" w:hAnsi="Times New Roman"/>
          <w:b/>
          <w:color w:val="0F172A"/>
          <w:sz w:val="32"/>
        </w:rPr>
        <w:t>LIST OF ABBREVIATIONS</w:t>
      </w:r>
    </w:p>
    <w:tbl>
      <w:tblPr>
        <w:tblW w:type="auto" w:w="0"/>
        <w:jc w:val="center"/>
        <w:tblLook w:firstColumn="1" w:firstRow="1" w:lastColumn="0" w:lastRow="0" w:noHBand="0" w:noVBand="1" w:val="04A0"/>
      </w:tblPr>
      <w:tblGrid>
        <w:gridCol w:w="4514"/>
        <w:gridCol w:w="4514"/>
      </w:tblGrid>
      <w:tr>
        <w:tc>
          <w:tcPr>
            <w:tcW w:type="dxa" w:w="4514"/>
          </w:tcPr>
          <w:p>
            <w:r>
              <w:rPr>
                <w:rFonts w:ascii="Times New Roman" w:hAnsi="Times New Roman"/>
                <w:b/>
                <w:sz w:val="21"/>
              </w:rPr>
              <w:t>AMS</w:t>
            </w:r>
          </w:p>
        </w:tc>
        <w:tc>
          <w:tcPr>
            <w:tcW w:type="dxa" w:w="4514"/>
          </w:tcPr>
          <w:p>
            <w:r>
              <w:rPr>
                <w:rFonts w:ascii="Times New Roman" w:hAnsi="Times New Roman"/>
                <w:sz w:val="21"/>
              </w:rPr>
              <w:t>Agency Management System</w:t>
            </w:r>
          </w:p>
        </w:tc>
      </w:tr>
      <w:tr>
        <w:tc>
          <w:tcPr>
            <w:tcW w:type="dxa" w:w="4514"/>
          </w:tcPr>
          <w:p>
            <w:r>
              <w:rPr>
                <w:rFonts w:ascii="Times New Roman" w:hAnsi="Times New Roman"/>
                <w:b/>
                <w:sz w:val="21"/>
              </w:rPr>
              <w:t>AST</w:t>
            </w:r>
          </w:p>
        </w:tc>
        <w:tc>
          <w:tcPr>
            <w:tcW w:type="dxa" w:w="4514"/>
          </w:tcPr>
          <w:p>
            <w:r>
              <w:rPr>
                <w:rFonts w:ascii="Times New Roman" w:hAnsi="Times New Roman"/>
                <w:sz w:val="21"/>
              </w:rPr>
              <w:t>Abstract Syntax Tree</w:t>
            </w:r>
          </w:p>
        </w:tc>
      </w:tr>
      <w:tr>
        <w:tc>
          <w:tcPr>
            <w:tcW w:type="dxa" w:w="4514"/>
          </w:tcPr>
          <w:p>
            <w:r>
              <w:rPr>
                <w:rFonts w:ascii="Times New Roman" w:hAnsi="Times New Roman"/>
                <w:b/>
                <w:sz w:val="21"/>
              </w:rPr>
              <w:t>CBIT</w:t>
            </w:r>
          </w:p>
        </w:tc>
        <w:tc>
          <w:tcPr>
            <w:tcW w:type="dxa" w:w="4514"/>
          </w:tcPr>
          <w:p>
            <w:r>
              <w:rPr>
                <w:rFonts w:ascii="Times New Roman" w:hAnsi="Times New Roman"/>
                <w:sz w:val="21"/>
              </w:rPr>
              <w:t>Chaitanya Bharathi Institute of Technology</w:t>
            </w:r>
          </w:p>
        </w:tc>
      </w:tr>
      <w:tr>
        <w:tc>
          <w:tcPr>
            <w:tcW w:type="dxa" w:w="4514"/>
          </w:tcPr>
          <w:p>
            <w:r>
              <w:rPr>
                <w:rFonts w:ascii="Times New Roman" w:hAnsi="Times New Roman"/>
                <w:b/>
                <w:sz w:val="21"/>
              </w:rPr>
              <w:t>CTL</w:t>
            </w:r>
          </w:p>
        </w:tc>
        <w:tc>
          <w:tcPr>
            <w:tcW w:type="dxa" w:w="4514"/>
          </w:tcPr>
          <w:p>
            <w:r>
              <w:rPr>
                <w:rFonts w:ascii="Times New Roman" w:hAnsi="Times New Roman"/>
                <w:sz w:val="21"/>
              </w:rPr>
              <w:t>Coverage Truth Layer</w:t>
            </w:r>
          </w:p>
        </w:tc>
      </w:tr>
      <w:tr>
        <w:tc>
          <w:tcPr>
            <w:tcW w:type="dxa" w:w="4514"/>
          </w:tcPr>
          <w:p>
            <w:r>
              <w:rPr>
                <w:rFonts w:ascii="Times New Roman" w:hAnsi="Times New Roman"/>
                <w:b/>
                <w:sz w:val="21"/>
              </w:rPr>
              <w:t>DFD</w:t>
            </w:r>
          </w:p>
        </w:tc>
        <w:tc>
          <w:tcPr>
            <w:tcW w:type="dxa" w:w="4514"/>
          </w:tcPr>
          <w:p>
            <w:r>
              <w:rPr>
                <w:rFonts w:ascii="Times New Roman" w:hAnsi="Times New Roman"/>
                <w:sz w:val="21"/>
              </w:rPr>
              <w:t>Data Flow Diagram</w:t>
            </w:r>
          </w:p>
        </w:tc>
      </w:tr>
      <w:tr>
        <w:tc>
          <w:tcPr>
            <w:tcW w:type="dxa" w:w="4514"/>
          </w:tcPr>
          <w:p>
            <w:r>
              <w:rPr>
                <w:rFonts w:ascii="Times New Roman" w:hAnsi="Times New Roman"/>
                <w:b/>
                <w:sz w:val="21"/>
              </w:rPr>
              <w:t>E&amp;O</w:t>
            </w:r>
          </w:p>
        </w:tc>
        <w:tc>
          <w:tcPr>
            <w:tcW w:type="dxa" w:w="4514"/>
          </w:tcPr>
          <w:p>
            <w:r>
              <w:rPr>
                <w:rFonts w:ascii="Times New Roman" w:hAnsi="Times New Roman"/>
                <w:sz w:val="21"/>
              </w:rPr>
              <w:t>Errors and Omissions</w:t>
            </w:r>
          </w:p>
        </w:tc>
      </w:tr>
      <w:tr>
        <w:tc>
          <w:tcPr>
            <w:tcW w:type="dxa" w:w="4514"/>
          </w:tcPr>
          <w:p>
            <w:r>
              <w:rPr>
                <w:rFonts w:ascii="Times New Roman" w:hAnsi="Times New Roman"/>
                <w:b/>
                <w:sz w:val="21"/>
              </w:rPr>
              <w:t>FNOL</w:t>
            </w:r>
          </w:p>
        </w:tc>
        <w:tc>
          <w:tcPr>
            <w:tcW w:type="dxa" w:w="4514"/>
          </w:tcPr>
          <w:p>
            <w:r>
              <w:rPr>
                <w:rFonts w:ascii="Times New Roman" w:hAnsi="Times New Roman"/>
                <w:sz w:val="21"/>
              </w:rPr>
              <w:t>First Notice of Loss</w:t>
            </w:r>
          </w:p>
        </w:tc>
      </w:tr>
      <w:tr>
        <w:tc>
          <w:tcPr>
            <w:tcW w:type="dxa" w:w="4514"/>
          </w:tcPr>
          <w:p>
            <w:r>
              <w:rPr>
                <w:rFonts w:ascii="Times New Roman" w:hAnsi="Times New Roman"/>
                <w:b/>
                <w:sz w:val="21"/>
              </w:rPr>
              <w:t>ISO</w:t>
            </w:r>
          </w:p>
        </w:tc>
        <w:tc>
          <w:tcPr>
            <w:tcW w:type="dxa" w:w="4514"/>
          </w:tcPr>
          <w:p>
            <w:r>
              <w:rPr>
                <w:rFonts w:ascii="Times New Roman" w:hAnsi="Times New Roman"/>
                <w:sz w:val="21"/>
              </w:rPr>
              <w:t>Insurance Services Office</w:t>
            </w:r>
          </w:p>
        </w:tc>
      </w:tr>
      <w:tr>
        <w:tc>
          <w:tcPr>
            <w:tcW w:type="dxa" w:w="4514"/>
          </w:tcPr>
          <w:p>
            <w:r>
              <w:rPr>
                <w:rFonts w:ascii="Times New Roman" w:hAnsi="Times New Roman"/>
                <w:b/>
                <w:sz w:val="21"/>
              </w:rPr>
              <w:t>LLM</w:t>
            </w:r>
          </w:p>
        </w:tc>
        <w:tc>
          <w:tcPr>
            <w:tcW w:type="dxa" w:w="4514"/>
          </w:tcPr>
          <w:p>
            <w:r>
              <w:rPr>
                <w:rFonts w:ascii="Times New Roman" w:hAnsi="Times New Roman"/>
                <w:sz w:val="21"/>
              </w:rPr>
              <w:t>Large Language Model</w:t>
            </w:r>
          </w:p>
        </w:tc>
      </w:tr>
      <w:tr>
        <w:tc>
          <w:tcPr>
            <w:tcW w:type="dxa" w:w="4514"/>
          </w:tcPr>
          <w:p>
            <w:r>
              <w:rPr>
                <w:rFonts w:ascii="Times New Roman" w:hAnsi="Times New Roman"/>
                <w:b/>
                <w:sz w:val="21"/>
              </w:rPr>
              <w:t>NLP</w:t>
            </w:r>
          </w:p>
        </w:tc>
        <w:tc>
          <w:tcPr>
            <w:tcW w:type="dxa" w:w="4514"/>
          </w:tcPr>
          <w:p>
            <w:r>
              <w:rPr>
                <w:rFonts w:ascii="Times New Roman" w:hAnsi="Times New Roman"/>
                <w:sz w:val="21"/>
              </w:rPr>
              <w:t>Natural Language Processing</w:t>
            </w:r>
          </w:p>
        </w:tc>
      </w:tr>
      <w:tr>
        <w:tc>
          <w:tcPr>
            <w:tcW w:type="dxa" w:w="4514"/>
          </w:tcPr>
          <w:p>
            <w:r>
              <w:rPr>
                <w:rFonts w:ascii="Times New Roman" w:hAnsi="Times New Roman"/>
                <w:b/>
                <w:sz w:val="21"/>
              </w:rPr>
              <w:t>OCR</w:t>
            </w:r>
          </w:p>
        </w:tc>
        <w:tc>
          <w:tcPr>
            <w:tcW w:type="dxa" w:w="4514"/>
          </w:tcPr>
          <w:p>
            <w:r>
              <w:rPr>
                <w:rFonts w:ascii="Times New Roman" w:hAnsi="Times New Roman"/>
                <w:sz w:val="21"/>
              </w:rPr>
              <w:t>Optical Character Recognition</w:t>
            </w:r>
          </w:p>
        </w:tc>
      </w:tr>
      <w:tr>
        <w:tc>
          <w:tcPr>
            <w:tcW w:type="dxa" w:w="4514"/>
          </w:tcPr>
          <w:p>
            <w:r>
              <w:rPr>
                <w:rFonts w:ascii="Times New Roman" w:hAnsi="Times New Roman"/>
                <w:b/>
                <w:sz w:val="21"/>
              </w:rPr>
              <w:t>PAS</w:t>
            </w:r>
          </w:p>
        </w:tc>
        <w:tc>
          <w:tcPr>
            <w:tcW w:type="dxa" w:w="4514"/>
          </w:tcPr>
          <w:p>
            <w:r>
              <w:rPr>
                <w:rFonts w:ascii="Times New Roman" w:hAnsi="Times New Roman"/>
                <w:sz w:val="21"/>
              </w:rPr>
              <w:t>Policy Administration System</w:t>
            </w:r>
          </w:p>
        </w:tc>
      </w:tr>
      <w:tr>
        <w:tc>
          <w:tcPr>
            <w:tcW w:type="dxa" w:w="4514"/>
          </w:tcPr>
          <w:p>
            <w:r>
              <w:rPr>
                <w:rFonts w:ascii="Times New Roman" w:hAnsi="Times New Roman"/>
                <w:b/>
                <w:sz w:val="21"/>
              </w:rPr>
              <w:t>RAG</w:t>
            </w:r>
          </w:p>
        </w:tc>
        <w:tc>
          <w:tcPr>
            <w:tcW w:type="dxa" w:w="4514"/>
          </w:tcPr>
          <w:p>
            <w:r>
              <w:rPr>
                <w:rFonts w:ascii="Times New Roman" w:hAnsi="Times New Roman"/>
                <w:sz w:val="21"/>
              </w:rPr>
              <w:t>Retrieval-Augmented Generation</w:t>
            </w:r>
          </w:p>
        </w:tc>
      </w:tr>
      <w:tr>
        <w:tc>
          <w:tcPr>
            <w:tcW w:type="dxa" w:w="4514"/>
          </w:tcPr>
          <w:p>
            <w:r>
              <w:rPr>
                <w:rFonts w:ascii="Times New Roman" w:hAnsi="Times New Roman"/>
                <w:b/>
                <w:sz w:val="21"/>
              </w:rPr>
              <w:t>SPA</w:t>
            </w:r>
          </w:p>
        </w:tc>
        <w:tc>
          <w:tcPr>
            <w:tcW w:type="dxa" w:w="4514"/>
          </w:tcPr>
          <w:p>
            <w:r>
              <w:rPr>
                <w:rFonts w:ascii="Times New Roman" w:hAnsi="Times New Roman"/>
                <w:sz w:val="21"/>
              </w:rPr>
              <w:t>Single Page Application</w:t>
            </w:r>
          </w:p>
        </w:tc>
      </w:tr>
      <w:tr>
        <w:tc>
          <w:tcPr>
            <w:tcW w:type="dxa" w:w="4514"/>
          </w:tcPr>
          <w:p>
            <w:r>
              <w:rPr>
                <w:rFonts w:ascii="Times New Roman" w:hAnsi="Times New Roman"/>
                <w:b/>
                <w:sz w:val="21"/>
              </w:rPr>
              <w:t>TIV</w:t>
            </w:r>
          </w:p>
        </w:tc>
        <w:tc>
          <w:tcPr>
            <w:tcW w:type="dxa" w:w="4514"/>
          </w:tcPr>
          <w:p>
            <w:r>
              <w:rPr>
                <w:rFonts w:ascii="Times New Roman" w:hAnsi="Times New Roman"/>
                <w:sz w:val="21"/>
              </w:rPr>
              <w:t>Total Insured Value</w:t>
            </w:r>
          </w:p>
        </w:tc>
      </w:tr>
      <w:tr>
        <w:tc>
          <w:tcPr>
            <w:tcW w:type="dxa" w:w="4514"/>
          </w:tcPr>
          <w:p>
            <w:r>
              <w:rPr>
                <w:rFonts w:ascii="Times New Roman" w:hAnsi="Times New Roman"/>
                <w:b/>
                <w:sz w:val="21"/>
              </w:rPr>
              <w:t>UML</w:t>
            </w:r>
          </w:p>
        </w:tc>
        <w:tc>
          <w:tcPr>
            <w:tcW w:type="dxa" w:w="4514"/>
          </w:tcPr>
          <w:p>
            <w:r>
              <w:rPr>
                <w:rFonts w:ascii="Times New Roman" w:hAnsi="Times New Roman"/>
                <w:sz w:val="21"/>
              </w:rPr>
              <w:t>Unified Modeling Language</w:t>
            </w:r>
          </w:p>
        </w:tc>
      </w:tr>
    </w:tbl>
    <w:p>
      <w:r>
        <w:br w:type="page"/>
      </w:r>
    </w:p>
    <w:p>
      <w:pPr>
        <w:pStyle w:val="Heading1"/>
        <w:keepNext/>
        <w:spacing w:before="280" w:after="120"/>
      </w:pPr>
      <w:r>
        <w:rPr>
          <w:rFonts w:ascii="Times New Roman" w:hAnsi="Times New Roman"/>
          <w:b/>
          <w:color w:val="0F172A"/>
          <w:sz w:val="32"/>
        </w:rPr>
        <w:t>CHAPTER 1: INTRODUCTION</w:t>
      </w:r>
    </w:p>
    <w:p>
      <w:pPr>
        <w:pStyle w:val="Heading2"/>
        <w:keepNext/>
        <w:spacing w:before="280" w:after="120"/>
      </w:pPr>
      <w:r>
        <w:rPr>
          <w:rFonts w:ascii="Times New Roman" w:hAnsi="Times New Roman"/>
          <w:b/>
          <w:color w:val="0F172A"/>
          <w:sz w:val="27"/>
        </w:rPr>
        <w:t>1.1 Domain Overview</w:t>
      </w:r>
    </w:p>
    <w:p>
      <w:pPr>
        <w:spacing w:line="312" w:lineRule="auto" w:after="120"/>
        <w:jc w:val="both"/>
      </w:pPr>
      <w:r>
        <w:rPr>
          <w:rFonts w:ascii="Times New Roman" w:hAnsi="Times New Roman"/>
          <w:color w:val="1E293B"/>
          <w:sz w:val="23"/>
        </w:rPr>
        <w:t>The commercial insurance sector underpins global economic resilience by indemnifying corporations against catastrophic property loss, third-party casualty liability, business interruption, and operational disruptions. However, unlike consumer retail insurance, a commercial insurance placement is rarely encapsulated within a single monolithic contract. Instead, the placement lifecycle unfolds across a decentralized hierarchy of disparate legal instruments generated by multiple independent entities over weeks or months.</w:t>
      </w:r>
    </w:p>
    <w:p>
      <w:pPr>
        <w:spacing w:line="312" w:lineRule="auto" w:after="120"/>
        <w:jc w:val="both"/>
      </w:pPr>
      <w:r>
        <w:rPr>
          <w:rFonts w:ascii="Times New Roman" w:hAnsi="Times New Roman"/>
          <w:color w:val="1E293B"/>
          <w:sz w:val="23"/>
        </w:rPr>
        <w:t>The lifecycle begins with Broker Quotes and Binder Proposals, prepared by wholesale or retail surplus-lines brokers. These proposals summarize agreed terms, sub-limits, and territory conditions negotiated on behalf of the corporate risk manager. Upon customer binding, the underwriting carrier issues the Master Policy Jacket, frequently standard Insurance Services Office (ISO) forms (e.g., CP 00 10 for commercial property). Crucially, the master policy is subsequently altered by Endorsements, Riders, and Policy Amendments—instruments attached post-issuance that modify, add, or exclude coverage parts.</w:t>
      </w:r>
    </w:p>
    <w:p>
      <w:pPr>
        <w:spacing w:line="312" w:lineRule="auto" w:after="120"/>
        <w:jc w:val="both"/>
      </w:pPr>
      <w:r>
        <w:rPr>
          <w:rFonts w:ascii="Times New Roman" w:hAnsi="Times New Roman"/>
          <w:color w:val="1E293B"/>
          <w:sz w:val="23"/>
        </w:rPr>
        <w:t>Document reconciliation in this domain represents the systematic comparison of commitments made during pre-binding representations against the definitive legal text of issued policies and attached endorsements. As modern commercial accounts routinely feature multiple manuscript riders, comparing these instruments across distinct versions and effective dates is paramount to ensure contractual fidelity.</w:t>
      </w:r>
    </w:p>
    <w:p>
      <w:pPr>
        <w:spacing w:line="312" w:lineRule="auto" w:after="120"/>
        <w:jc w:val="both"/>
      </w:pPr>
      <w:r>
        <w:rPr>
          <w:rFonts w:ascii="Times New Roman" w:hAnsi="Times New Roman"/>
          <w:color w:val="1E293B"/>
          <w:sz w:val="23"/>
        </w:rPr>
        <w:t>Recent breakthroughs in Natural Language Processing (NLP), Large Language Models (LLMs), and Document Intelligence offer unprecedented capabilities to automate contract cross-referencing. However, generic generative AI approaches present acute risks of legal hallucination and lack traceable audit trails. Coverage Truth Layer (CTL) addresses this gap by coupling deterministic rules with semantic comparison, creating an auditable evidence-traceability layer for insurance professionals.</w:t>
      </w:r>
    </w:p>
    <w:p>
      <w:pPr>
        <w:pStyle w:val="Heading2"/>
        <w:keepNext/>
        <w:spacing w:before="280" w:after="120"/>
      </w:pPr>
      <w:r>
        <w:rPr>
          <w:rFonts w:ascii="Times New Roman" w:hAnsi="Times New Roman"/>
          <w:b/>
          <w:color w:val="0F172A"/>
          <w:sz w:val="27"/>
        </w:rPr>
        <w:t>1.2 Challenges in Insurance Document Intelligence</w:t>
      </w:r>
    </w:p>
    <w:p>
      <w:pPr>
        <w:spacing w:line="312" w:lineRule="auto" w:after="120"/>
        <w:jc w:val="both"/>
      </w:pPr>
      <w:r>
        <w:rPr>
          <w:rFonts w:ascii="Times New Roman" w:hAnsi="Times New Roman"/>
          <w:color w:val="1E293B"/>
          <w:sz w:val="23"/>
        </w:rPr>
        <w:t>Automating insurance document reconciliation involves severe computational, structural, and legal challenges:</w:t>
      </w:r>
    </w:p>
    <w:p>
      <w:pPr>
        <w:pStyle w:val="ListBullet"/>
        <w:spacing w:line="300" w:lineRule="auto" w:after="80"/>
        <w:jc w:val="both"/>
      </w:pPr>
      <w:r>
        <w:rPr>
          <w:rFonts w:ascii="Times New Roman" w:hAnsi="Times New Roman"/>
          <w:b/>
          <w:color w:val="0F172A"/>
          <w:sz w:val="22"/>
        </w:rPr>
        <w:t xml:space="preserve">Fragmented Information Distribution: </w:t>
      </w:r>
      <w:r>
        <w:rPr>
          <w:rFonts w:ascii="Times New Roman" w:hAnsi="Times New Roman"/>
          <w:color w:val="1E293B"/>
          <w:sz w:val="22"/>
        </w:rPr>
        <w:t>Coverage terms are scattered across broker emails, Acord applications, carrier quotes, policy declarations, and multi-page endorsement schedules.</w:t>
      </w:r>
    </w:p>
    <w:p>
      <w:pPr>
        <w:pStyle w:val="ListBullet"/>
        <w:spacing w:line="300" w:lineRule="auto" w:after="80"/>
        <w:jc w:val="both"/>
      </w:pPr>
      <w:r>
        <w:rPr>
          <w:rFonts w:ascii="Times New Roman" w:hAnsi="Times New Roman"/>
          <w:b/>
          <w:color w:val="0F172A"/>
          <w:sz w:val="22"/>
        </w:rPr>
        <w:t xml:space="preserve">Promised vs. Documented Disparities: </w:t>
      </w:r>
      <w:r>
        <w:rPr>
          <w:rFonts w:ascii="Times New Roman" w:hAnsi="Times New Roman"/>
          <w:color w:val="1E293B"/>
          <w:sz w:val="22"/>
        </w:rPr>
        <w:t>Brokers frequently represent affirmative coverage in proposals (e.g., $1,000,000 blanket water damage) that carrier issuance systems subsequently restrict through standard exclusions or low sub-limits.</w:t>
      </w:r>
    </w:p>
    <w:p>
      <w:pPr>
        <w:pStyle w:val="ListBullet"/>
        <w:spacing w:line="300" w:lineRule="auto" w:after="80"/>
        <w:jc w:val="both"/>
      </w:pPr>
      <w:r>
        <w:rPr>
          <w:rFonts w:ascii="Times New Roman" w:hAnsi="Times New Roman"/>
          <w:b/>
          <w:color w:val="0F172A"/>
          <w:sz w:val="22"/>
        </w:rPr>
        <w:t xml:space="preserve">Endorsement and Rider Supersession: </w:t>
      </w:r>
      <w:r>
        <w:rPr>
          <w:rFonts w:ascii="Times New Roman" w:hAnsi="Times New Roman"/>
          <w:color w:val="1E293B"/>
          <w:sz w:val="22"/>
        </w:rPr>
        <w:t>Endorsements introduce complex legal overrides via precedence clauses (e.g., ISO Form Sec F.4), which declare that endorsement wording supersedes base forms, potentially extinguishing promised terms.</w:t>
      </w:r>
    </w:p>
    <w:p>
      <w:pPr>
        <w:pStyle w:val="ListBullet"/>
        <w:spacing w:line="300" w:lineRule="auto" w:after="80"/>
        <w:jc w:val="both"/>
      </w:pPr>
      <w:r>
        <w:rPr>
          <w:rFonts w:ascii="Times New Roman" w:hAnsi="Times New Roman"/>
          <w:b/>
          <w:color w:val="0F172A"/>
          <w:sz w:val="22"/>
        </w:rPr>
        <w:t xml:space="preserve">Chronological Disparity and Effective Dates: </w:t>
      </w:r>
      <w:r>
        <w:rPr>
          <w:rFonts w:ascii="Times New Roman" w:hAnsi="Times New Roman"/>
          <w:color w:val="1E293B"/>
          <w:sz w:val="22"/>
        </w:rPr>
        <w:t>Endorsements issued weeks after policy inception without signed policyholder acknowledgment create deep enforceability ambiguities.</w:t>
      </w:r>
    </w:p>
    <w:p>
      <w:pPr>
        <w:pStyle w:val="ListBullet"/>
        <w:spacing w:line="300" w:lineRule="auto" w:after="80"/>
        <w:jc w:val="both"/>
      </w:pPr>
      <w:r>
        <w:rPr>
          <w:rFonts w:ascii="Times New Roman" w:hAnsi="Times New Roman"/>
          <w:b/>
          <w:color w:val="0F172A"/>
          <w:sz w:val="22"/>
        </w:rPr>
        <w:t xml:space="preserve">Unstructured and Varied Layouts: </w:t>
      </w:r>
      <w:r>
        <w:rPr>
          <w:rFonts w:ascii="Times New Roman" w:hAnsi="Times New Roman"/>
          <w:color w:val="1E293B"/>
          <w:sz w:val="22"/>
        </w:rPr>
        <w:t>Insurance documents span digital PDFs, scanned forms with variable OCR fidelity, tables, schedules, and dense fine print.</w:t>
      </w:r>
    </w:p>
    <w:p>
      <w:pPr>
        <w:pStyle w:val="ListBullet"/>
        <w:spacing w:line="300" w:lineRule="auto" w:after="80"/>
        <w:jc w:val="both"/>
      </w:pPr>
      <w:r>
        <w:rPr>
          <w:rFonts w:ascii="Times New Roman" w:hAnsi="Times New Roman"/>
          <w:b/>
          <w:color w:val="0F172A"/>
          <w:sz w:val="22"/>
        </w:rPr>
        <w:t xml:space="preserve">Semantic Nuance and Ambiguity: </w:t>
      </w:r>
      <w:r>
        <w:rPr>
          <w:rFonts w:ascii="Times New Roman" w:hAnsi="Times New Roman"/>
          <w:color w:val="1E293B"/>
          <w:sz w:val="22"/>
        </w:rPr>
        <w:t>Phrases such as 'notwithstanding prior representations', 'unless separately scheduled', and 'subject to aggregate sub-limits' drastically shift liability based on subtle syntactic placement.</w:t>
      </w:r>
    </w:p>
    <w:p>
      <w:pPr>
        <w:pStyle w:val="ListBullet"/>
        <w:spacing w:line="300" w:lineRule="auto" w:after="80"/>
        <w:jc w:val="both"/>
      </w:pPr>
      <w:r>
        <w:rPr>
          <w:rFonts w:ascii="Times New Roman" w:hAnsi="Times New Roman"/>
          <w:b/>
          <w:color w:val="0F172A"/>
          <w:sz w:val="22"/>
        </w:rPr>
        <w:t xml:space="preserve">Strict Provenance Requirements: </w:t>
      </w:r>
      <w:r>
        <w:rPr>
          <w:rFonts w:ascii="Times New Roman" w:hAnsi="Times New Roman"/>
          <w:color w:val="1E293B"/>
          <w:sz w:val="22"/>
        </w:rPr>
        <w:t>Underwriters and legal counsel cannot accept black-box assertions; every contradiction must be verifiable down to exact page, section, and character spans.</w:t>
      </w:r>
    </w:p>
    <w:p>
      <w:pPr>
        <w:pStyle w:val="ListBullet"/>
        <w:spacing w:line="300" w:lineRule="auto" w:after="80"/>
        <w:jc w:val="both"/>
      </w:pPr>
      <w:r>
        <w:rPr>
          <w:rFonts w:ascii="Times New Roman" w:hAnsi="Times New Roman"/>
          <w:b/>
          <w:color w:val="0F172A"/>
          <w:sz w:val="22"/>
        </w:rPr>
        <w:t xml:space="preserve">Risk of Hallucination and False Alerts: </w:t>
      </w:r>
      <w:r>
        <w:rPr>
          <w:rFonts w:ascii="Times New Roman" w:hAnsi="Times New Roman"/>
          <w:color w:val="1E293B"/>
          <w:sz w:val="22"/>
        </w:rPr>
        <w:t>Excessive false positives create underwriter alert fatigue, while false negatives leave multi-million-dollar coverage gaps undetected.</w:t>
      </w:r>
    </w:p>
    <w:p>
      <w:pPr>
        <w:pStyle w:val="Heading2"/>
        <w:keepNext/>
        <w:spacing w:before="280" w:after="120"/>
      </w:pPr>
      <w:r>
        <w:rPr>
          <w:rFonts w:ascii="Times New Roman" w:hAnsi="Times New Roman"/>
          <w:b/>
          <w:color w:val="0F172A"/>
          <w:sz w:val="27"/>
        </w:rPr>
        <w:t>1.3 Motivation</w:t>
      </w:r>
    </w:p>
    <w:p>
      <w:pPr>
        <w:spacing w:line="312" w:lineRule="auto" w:after="120"/>
        <w:jc w:val="both"/>
      </w:pPr>
      <w:r>
        <w:rPr>
          <w:rFonts w:ascii="Times New Roman" w:hAnsi="Times New Roman"/>
          <w:color w:val="1E293B"/>
          <w:sz w:val="23"/>
        </w:rPr>
        <w:t>The motivation behind Coverage Truth Layer stems from the pervasive and costly phenomenon of 'silent coverage contradictions'. When disparities between broker representations and carrier policy forms remain unresolved, the consequences surface only after a catastrophic loss occurs. During claim adjustment, carriers deny coverage based on restrictive endorsements, leaving policyholders facing unexpected financial crises and triggering protracted Errors &amp; Omissions (E&amp;O) lawsuits against brokers.</w:t>
      </w:r>
    </w:p>
    <w:p>
      <w:pPr>
        <w:spacing w:line="312" w:lineRule="auto" w:after="120"/>
        <w:jc w:val="both"/>
      </w:pPr>
      <w:r>
        <w:rPr>
          <w:rFonts w:ascii="Times New Roman" w:hAnsi="Times New Roman"/>
          <w:color w:val="1E293B"/>
          <w:sz w:val="23"/>
        </w:rPr>
        <w:t>By identifying potential contradictions during the pre-binding and post-issuance review windows, CTL enables underwriters, wholesale brokers, and risk managers to resolve discrepancies proactively—either by issuing correction riders or obtaining written policyholder consent—long before claims materialize.</w:t>
      </w:r>
    </w:p>
    <w:p>
      <w:pPr>
        <w:pStyle w:val="Heading2"/>
        <w:keepNext/>
        <w:spacing w:before="280" w:after="120"/>
      </w:pPr>
      <w:r>
        <w:rPr>
          <w:rFonts w:ascii="Times New Roman" w:hAnsi="Times New Roman"/>
          <w:b/>
          <w:color w:val="0F172A"/>
          <w:sz w:val="27"/>
        </w:rPr>
        <w:t>1.4 Scope and System Boundaries</w:t>
      </w:r>
    </w:p>
    <w:p>
      <w:pPr>
        <w:spacing w:line="312" w:lineRule="auto" w:after="120"/>
        <w:jc w:val="both"/>
      </w:pPr>
      <w:r>
        <w:rPr>
          <w:rFonts w:ascii="Times New Roman" w:hAnsi="Times New Roman"/>
          <w:color w:val="1E293B"/>
          <w:sz w:val="23"/>
        </w:rPr>
        <w:t>To maintain technical rigor and academic integrity, the project strictly delineates implemented features from conceptual architecture and future roadmap extensions:</w:t>
      </w:r>
    </w:p>
    <w:p>
      <w:pPr>
        <w:pStyle w:val="ListBullet"/>
        <w:spacing w:line="300" w:lineRule="auto" w:after="80"/>
        <w:jc w:val="both"/>
      </w:pPr>
      <w:r>
        <w:rPr>
          <w:rFonts w:ascii="Times New Roman" w:hAnsi="Times New Roman"/>
          <w:b/>
          <w:color w:val="0F172A"/>
          <w:sz w:val="22"/>
        </w:rPr>
        <w:t xml:space="preserve">Implemented Features (Active Prototype): </w:t>
      </w:r>
      <w:r>
        <w:rPr>
          <w:rFonts w:ascii="Times New Roman" w:hAnsi="Times New Roman"/>
          <w:color w:val="1E293B"/>
          <w:sz w:val="22"/>
        </w:rPr>
        <w:t>Interactive dual-pane side-by-side wording diff; character-level evidence provenance linking; deterministic limit &amp; deductible delta engine; bounded autonomous chronology investigation agent; human review triage console with localStorage persistence; 8-stage interactive simulation runner; document upload zone; and pilot evaluation framework.</w:t>
      </w:r>
    </w:p>
    <w:p>
      <w:pPr>
        <w:pStyle w:val="ListBullet"/>
        <w:spacing w:line="300" w:lineRule="auto" w:after="80"/>
        <w:jc w:val="both"/>
      </w:pPr>
      <w:r>
        <w:rPr>
          <w:rFonts w:ascii="Times New Roman" w:hAnsi="Times New Roman"/>
          <w:b/>
          <w:color w:val="0F172A"/>
          <w:sz w:val="22"/>
        </w:rPr>
        <w:t xml:space="preserve">Partially Implemented / Simulated Features: </w:t>
      </w:r>
      <w:r>
        <w:rPr>
          <w:rFonts w:ascii="Times New Roman" w:hAnsi="Times New Roman"/>
          <w:color w:val="1E293B"/>
          <w:sz w:val="22"/>
        </w:rPr>
        <w:t>The backend AI processing pipeline is currently executed as a deterministic and structured frontend simulation using realistic fictional commercial property data (Apex Global Logistics LLC), demonstrating exact input/output contracts without requiring live external API keys.</w:t>
      </w:r>
    </w:p>
    <w:p>
      <w:pPr>
        <w:pStyle w:val="ListBullet"/>
        <w:spacing w:line="300" w:lineRule="auto" w:after="80"/>
        <w:jc w:val="both"/>
      </w:pPr>
      <w:r>
        <w:rPr>
          <w:rFonts w:ascii="Times New Roman" w:hAnsi="Times New Roman"/>
          <w:b/>
          <w:color w:val="0F172A"/>
          <w:sz w:val="22"/>
        </w:rPr>
        <w:t xml:space="preserve">Proposed Features (Phase 2): </w:t>
      </w:r>
      <w:r>
        <w:rPr>
          <w:rFonts w:ascii="Times New Roman" w:hAnsi="Times New Roman"/>
          <w:color w:val="1E293B"/>
          <w:sz w:val="22"/>
        </w:rPr>
        <w:t>Production OCR parsing service, live carrier Policy Administration System (PAS) connectors, and real-time LLM API endpoints.</w:t>
      </w:r>
    </w:p>
    <w:p>
      <w:pPr>
        <w:pStyle w:val="ListBullet"/>
        <w:spacing w:line="300" w:lineRule="auto" w:after="80"/>
        <w:jc w:val="both"/>
      </w:pPr>
      <w:r>
        <w:rPr>
          <w:rFonts w:ascii="Times New Roman" w:hAnsi="Times New Roman"/>
          <w:b/>
          <w:color w:val="0F172A"/>
          <w:sz w:val="22"/>
        </w:rPr>
        <w:t xml:space="preserve">Future Scope (Phase 3 - Paid Claims): </w:t>
      </w:r>
      <w:r>
        <w:rPr>
          <w:rFonts w:ascii="Times New Roman" w:hAnsi="Times New Roman"/>
          <w:color w:val="1E293B"/>
          <w:sz w:val="22"/>
        </w:rPr>
        <w:t>Reconciling First Notice of Loss (FNOL) claims and reservation-of-rights settlement letters against historical promises lies strictly outside the current MVP scope.</w:t>
      </w:r>
    </w:p>
    <w:p>
      <w:pPr>
        <w:pStyle w:val="Heading2"/>
        <w:keepNext/>
        <w:spacing w:before="280" w:after="120"/>
      </w:pPr>
      <w:r>
        <w:rPr>
          <w:rFonts w:ascii="Times New Roman" w:hAnsi="Times New Roman"/>
          <w:b/>
          <w:color w:val="0F172A"/>
          <w:sz w:val="27"/>
        </w:rPr>
        <w:t>1.5 Objectives of the Project</w:t>
      </w:r>
    </w:p>
    <w:p>
      <w:pPr>
        <w:spacing w:line="312" w:lineRule="auto" w:after="120"/>
        <w:jc w:val="both"/>
      </w:pPr>
      <w:r>
        <w:rPr>
          <w:rFonts w:ascii="Times New Roman" w:hAnsi="Times New Roman"/>
          <w:color w:val="1E293B"/>
          <w:sz w:val="23"/>
        </w:rPr>
        <w:t>The project is guided by seven core engineering objectives:</w:t>
      </w:r>
    </w:p>
    <w:p>
      <w:pPr>
        <w:pStyle w:val="ListBullet"/>
        <w:spacing w:line="300" w:lineRule="auto" w:after="80"/>
        <w:jc w:val="both"/>
      </w:pPr>
      <w:r>
        <w:rPr>
          <w:rFonts w:ascii="Times New Roman" w:hAnsi="Times New Roman"/>
          <w:b/>
          <w:color w:val="0F172A"/>
          <w:sz w:val="22"/>
        </w:rPr>
        <w:t xml:space="preserve">1. Structured Fact Extraction: </w:t>
      </w:r>
      <w:r>
        <w:rPr>
          <w:rFonts w:ascii="Times New Roman" w:hAnsi="Times New Roman"/>
          <w:color w:val="1E293B"/>
          <w:sz w:val="22"/>
        </w:rPr>
        <w:t>Extract normalized coverage limits, deductibles, perils, exclusions, and effective dates from natural language insurance instruments. [Implemented in Demo Corpus]</w:t>
      </w:r>
    </w:p>
    <w:p>
      <w:pPr>
        <w:pStyle w:val="ListBullet"/>
        <w:spacing w:line="300" w:lineRule="auto" w:after="80"/>
        <w:jc w:val="both"/>
      </w:pPr>
      <w:r>
        <w:rPr>
          <w:rFonts w:ascii="Times New Roman" w:hAnsi="Times New Roman"/>
          <w:b/>
          <w:color w:val="0F172A"/>
          <w:sz w:val="22"/>
        </w:rPr>
        <w:t xml:space="preserve">2. Promised vs. Documented Reconciliation: </w:t>
      </w:r>
      <w:r>
        <w:rPr>
          <w:rFonts w:ascii="Times New Roman" w:hAnsi="Times New Roman"/>
          <w:color w:val="1E293B"/>
          <w:sz w:val="22"/>
        </w:rPr>
        <w:t>Cross-examine broker proposal terms against master policy declarations and restrictive endorsement riders. [Implemented]</w:t>
      </w:r>
    </w:p>
    <w:p>
      <w:pPr>
        <w:pStyle w:val="ListBullet"/>
        <w:spacing w:line="300" w:lineRule="auto" w:after="80"/>
        <w:jc w:val="both"/>
      </w:pPr>
      <w:r>
        <w:rPr>
          <w:rFonts w:ascii="Times New Roman" w:hAnsi="Times New Roman"/>
          <w:b/>
          <w:color w:val="0F172A"/>
          <w:sz w:val="22"/>
        </w:rPr>
        <w:t xml:space="preserve">3. Hybrid Contradiction Detection: </w:t>
      </w:r>
      <w:r>
        <w:rPr>
          <w:rFonts w:ascii="Times New Roman" w:hAnsi="Times New Roman"/>
          <w:color w:val="1E293B"/>
          <w:sz w:val="22"/>
        </w:rPr>
        <w:t>Combine zero-hallucination deterministic rules for numerical values with semantic evaluation for conditionality clauses. [Implemented]</w:t>
      </w:r>
    </w:p>
    <w:p>
      <w:pPr>
        <w:pStyle w:val="ListBullet"/>
        <w:spacing w:line="300" w:lineRule="auto" w:after="80"/>
        <w:jc w:val="both"/>
      </w:pPr>
      <w:r>
        <w:rPr>
          <w:rFonts w:ascii="Times New Roman" w:hAnsi="Times New Roman"/>
          <w:b/>
          <w:color w:val="0F172A"/>
          <w:sz w:val="22"/>
        </w:rPr>
        <w:t xml:space="preserve">4. 100% Evidence Traceability: </w:t>
      </w:r>
      <w:r>
        <w:rPr>
          <w:rFonts w:ascii="Times New Roman" w:hAnsi="Times New Roman"/>
          <w:color w:val="1E293B"/>
          <w:sz w:val="22"/>
        </w:rPr>
        <w:t>Anchor every flagged finding to verifiable source documents, line references, and cryptographic checksums. [Implemented]</w:t>
      </w:r>
    </w:p>
    <w:p>
      <w:pPr>
        <w:pStyle w:val="ListBullet"/>
        <w:spacing w:line="300" w:lineRule="auto" w:after="80"/>
        <w:jc w:val="both"/>
      </w:pPr>
      <w:r>
        <w:rPr>
          <w:rFonts w:ascii="Times New Roman" w:hAnsi="Times New Roman"/>
          <w:b/>
          <w:color w:val="0F172A"/>
          <w:sz w:val="22"/>
        </w:rPr>
        <w:t xml:space="preserve">5. Bounded Agent Escalation: </w:t>
      </w:r>
      <w:r>
        <w:rPr>
          <w:rFonts w:ascii="Times New Roman" w:hAnsi="Times New Roman"/>
          <w:color w:val="1E293B"/>
          <w:sz w:val="22"/>
        </w:rPr>
        <w:t>Implement an autonomous agent that activates strictly upon unresolved chronological or precedence conflicts. [Implemented]</w:t>
      </w:r>
    </w:p>
    <w:p>
      <w:pPr>
        <w:pStyle w:val="ListBullet"/>
        <w:spacing w:line="300" w:lineRule="auto" w:after="80"/>
        <w:jc w:val="both"/>
      </w:pPr>
      <w:r>
        <w:rPr>
          <w:rFonts w:ascii="Times New Roman" w:hAnsi="Times New Roman"/>
          <w:b/>
          <w:color w:val="0F172A"/>
          <w:sz w:val="22"/>
        </w:rPr>
        <w:t xml:space="preserve">6. Human-in-the-Loop Governance: </w:t>
      </w:r>
      <w:r>
        <w:rPr>
          <w:rFonts w:ascii="Times New Roman" w:hAnsi="Times New Roman"/>
          <w:color w:val="1E293B"/>
          <w:sz w:val="22"/>
        </w:rPr>
        <w:t>Provide a reviewer desk where underwriters confirm, investigate, resolve, or dismiss findings without automated legal determinations. [Implemented]</w:t>
      </w:r>
    </w:p>
    <w:p>
      <w:pPr>
        <w:pStyle w:val="ListBullet"/>
        <w:spacing w:line="300" w:lineRule="auto" w:after="80"/>
        <w:jc w:val="both"/>
      </w:pPr>
      <w:r>
        <w:rPr>
          <w:rFonts w:ascii="Times New Roman" w:hAnsi="Times New Roman"/>
          <w:b/>
          <w:color w:val="0F172A"/>
          <w:sz w:val="22"/>
        </w:rPr>
        <w:t xml:space="preserve">7. Auditable Local Ledger: </w:t>
      </w:r>
      <w:r>
        <w:rPr>
          <w:rFonts w:ascii="Times New Roman" w:hAnsi="Times New Roman"/>
          <w:color w:val="1E293B"/>
          <w:sz w:val="22"/>
        </w:rPr>
        <w:t>Maintain an append-only, tamper-evident audit history persisted in local browser storage. [Implemented]</w:t>
      </w:r>
    </w:p>
    <w:p>
      <w:r>
        <w:br w:type="page"/>
      </w:r>
    </w:p>
    <w:p>
      <w:pPr>
        <w:pStyle w:val="Heading1"/>
        <w:keepNext/>
        <w:spacing w:before="280" w:after="120"/>
      </w:pPr>
      <w:r>
        <w:rPr>
          <w:rFonts w:ascii="Times New Roman" w:hAnsi="Times New Roman"/>
          <w:b/>
          <w:color w:val="0F172A"/>
          <w:sz w:val="32"/>
        </w:rPr>
        <w:t>CHAPTER 2: LITERATURE SURVEY</w:t>
      </w:r>
    </w:p>
    <w:p>
      <w:pPr>
        <w:pStyle w:val="Heading2"/>
        <w:keepNext/>
        <w:spacing w:before="280" w:after="120"/>
      </w:pPr>
      <w:r>
        <w:rPr>
          <w:rFonts w:ascii="Times New Roman" w:hAnsi="Times New Roman"/>
          <w:b/>
          <w:color w:val="0F172A"/>
          <w:sz w:val="27"/>
        </w:rPr>
        <w:t>2.1 Introduction to Problem Domain Terminology</w:t>
      </w:r>
    </w:p>
    <w:p>
      <w:pPr>
        <w:spacing w:line="312" w:lineRule="auto" w:after="120"/>
        <w:jc w:val="both"/>
      </w:pPr>
      <w:r>
        <w:rPr>
          <w:rFonts w:ascii="Times New Roman" w:hAnsi="Times New Roman"/>
          <w:color w:val="1E293B"/>
          <w:sz w:val="23"/>
        </w:rPr>
        <w:t>Understanding the technical underpinnings of Coverage Truth Layer requires precise definitions of insurance legal terms and artificial intelligence concepts:</w:t>
      </w:r>
    </w:p>
    <w:p>
      <w:pPr>
        <w:pStyle w:val="ListBullet"/>
        <w:spacing w:line="300" w:lineRule="auto" w:after="80"/>
        <w:jc w:val="both"/>
      </w:pPr>
      <w:r>
        <w:rPr>
          <w:rFonts w:ascii="Times New Roman" w:hAnsi="Times New Roman"/>
          <w:b/>
          <w:color w:val="0F172A"/>
          <w:sz w:val="22"/>
        </w:rPr>
        <w:t xml:space="preserve">Insurance Policy: </w:t>
      </w:r>
      <w:r>
        <w:rPr>
          <w:rFonts w:ascii="Times New Roman" w:hAnsi="Times New Roman"/>
          <w:color w:val="1E293B"/>
          <w:sz w:val="22"/>
        </w:rPr>
        <w:t>A legally binding contract wherein the insurer agrees to indemnify the insured against specified perils in exchange for premium payment.</w:t>
      </w:r>
    </w:p>
    <w:p>
      <w:pPr>
        <w:pStyle w:val="ListBullet"/>
        <w:spacing w:line="300" w:lineRule="auto" w:after="80"/>
        <w:jc w:val="both"/>
      </w:pPr>
      <w:r>
        <w:rPr>
          <w:rFonts w:ascii="Times New Roman" w:hAnsi="Times New Roman"/>
          <w:b/>
          <w:color w:val="0F172A"/>
          <w:sz w:val="22"/>
        </w:rPr>
        <w:t xml:space="preserve">Broker Quote / Binder: </w:t>
      </w:r>
      <w:r>
        <w:rPr>
          <w:rFonts w:ascii="Times New Roman" w:hAnsi="Times New Roman"/>
          <w:color w:val="1E293B"/>
          <w:sz w:val="22"/>
        </w:rPr>
        <w:t>A temporary or preliminary agreement issued by an insurance broker or agent summarizing agreed terms prior to the issuance of the formal policy.</w:t>
      </w:r>
    </w:p>
    <w:p>
      <w:pPr>
        <w:pStyle w:val="ListBullet"/>
        <w:spacing w:line="300" w:lineRule="auto" w:after="80"/>
        <w:jc w:val="both"/>
      </w:pPr>
      <w:r>
        <w:rPr>
          <w:rFonts w:ascii="Times New Roman" w:hAnsi="Times New Roman"/>
          <w:b/>
          <w:color w:val="0F172A"/>
          <w:sz w:val="22"/>
        </w:rPr>
        <w:t xml:space="preserve">Endorsement / Rider: </w:t>
      </w:r>
      <w:r>
        <w:rPr>
          <w:rFonts w:ascii="Times New Roman" w:hAnsi="Times New Roman"/>
          <w:color w:val="1E293B"/>
          <w:sz w:val="22"/>
        </w:rPr>
        <w:t>A written amendment attached to a policy that alters, deletes, or adds provisions to the original contract.</w:t>
      </w:r>
    </w:p>
    <w:p>
      <w:pPr>
        <w:pStyle w:val="ListBullet"/>
        <w:spacing w:line="300" w:lineRule="auto" w:after="80"/>
        <w:jc w:val="both"/>
      </w:pPr>
      <w:r>
        <w:rPr>
          <w:rFonts w:ascii="Times New Roman" w:hAnsi="Times New Roman"/>
          <w:b/>
          <w:color w:val="0F172A"/>
          <w:sz w:val="22"/>
        </w:rPr>
        <w:t xml:space="preserve">Coverage Statement: </w:t>
      </w:r>
      <w:r>
        <w:rPr>
          <w:rFonts w:ascii="Times New Roman" w:hAnsi="Times New Roman"/>
          <w:color w:val="1E293B"/>
          <w:sz w:val="22"/>
        </w:rPr>
        <w:t>An affirmative clause declaring that a specific peril or property class is insured under defined conditions.</w:t>
      </w:r>
    </w:p>
    <w:p>
      <w:pPr>
        <w:pStyle w:val="ListBullet"/>
        <w:spacing w:line="300" w:lineRule="auto" w:after="80"/>
        <w:jc w:val="both"/>
      </w:pPr>
      <w:r>
        <w:rPr>
          <w:rFonts w:ascii="Times New Roman" w:hAnsi="Times New Roman"/>
          <w:b/>
          <w:color w:val="0F172A"/>
          <w:sz w:val="22"/>
        </w:rPr>
        <w:t xml:space="preserve">Exclusion: </w:t>
      </w:r>
      <w:r>
        <w:rPr>
          <w:rFonts w:ascii="Times New Roman" w:hAnsi="Times New Roman"/>
          <w:color w:val="1E293B"/>
          <w:sz w:val="22"/>
        </w:rPr>
        <w:t>A policy provision explicitly carving out specific perils, hazards, or property types from indemnification.</w:t>
      </w:r>
    </w:p>
    <w:p>
      <w:pPr>
        <w:pStyle w:val="ListBullet"/>
        <w:spacing w:line="300" w:lineRule="auto" w:after="80"/>
        <w:jc w:val="both"/>
      </w:pPr>
      <w:r>
        <w:rPr>
          <w:rFonts w:ascii="Times New Roman" w:hAnsi="Times New Roman"/>
          <w:b/>
          <w:color w:val="0F172A"/>
          <w:sz w:val="22"/>
        </w:rPr>
        <w:t xml:space="preserve">Effective Date: </w:t>
      </w:r>
      <w:r>
        <w:rPr>
          <w:rFonts w:ascii="Times New Roman" w:hAnsi="Times New Roman"/>
          <w:color w:val="1E293B"/>
          <w:sz w:val="22"/>
        </w:rPr>
        <w:t>The exact date and time at which a contract or endorsement becomes legally operative.</w:t>
      </w:r>
    </w:p>
    <w:p>
      <w:pPr>
        <w:pStyle w:val="ListBullet"/>
        <w:spacing w:line="300" w:lineRule="auto" w:after="80"/>
        <w:jc w:val="both"/>
      </w:pPr>
      <w:r>
        <w:rPr>
          <w:rFonts w:ascii="Times New Roman" w:hAnsi="Times New Roman"/>
          <w:b/>
          <w:color w:val="0F172A"/>
          <w:sz w:val="22"/>
        </w:rPr>
        <w:t xml:space="preserve">Document Reconciliation: </w:t>
      </w:r>
      <w:r>
        <w:rPr>
          <w:rFonts w:ascii="Times New Roman" w:hAnsi="Times New Roman"/>
          <w:color w:val="1E293B"/>
          <w:sz w:val="22"/>
        </w:rPr>
        <w:t>The process of cross-comparing two or more contractual instruments to verify concordance of terms.</w:t>
      </w:r>
    </w:p>
    <w:p>
      <w:pPr>
        <w:pStyle w:val="ListBullet"/>
        <w:spacing w:line="300" w:lineRule="auto" w:after="80"/>
        <w:jc w:val="both"/>
      </w:pPr>
      <w:r>
        <w:rPr>
          <w:rFonts w:ascii="Times New Roman" w:hAnsi="Times New Roman"/>
          <w:b/>
          <w:color w:val="0F172A"/>
          <w:sz w:val="22"/>
        </w:rPr>
        <w:t xml:space="preserve">Evidence Provenance: </w:t>
      </w:r>
      <w:r>
        <w:rPr>
          <w:rFonts w:ascii="Times New Roman" w:hAnsi="Times New Roman"/>
          <w:color w:val="1E293B"/>
          <w:sz w:val="22"/>
        </w:rPr>
        <w:t>The documented lineage and immutable coordinate citation pinning an extracted fact to its raw source.</w:t>
      </w:r>
    </w:p>
    <w:p>
      <w:pPr>
        <w:pStyle w:val="ListBullet"/>
        <w:spacing w:line="300" w:lineRule="auto" w:after="80"/>
        <w:jc w:val="both"/>
      </w:pPr>
      <w:r>
        <w:rPr>
          <w:rFonts w:ascii="Times New Roman" w:hAnsi="Times New Roman"/>
          <w:b/>
          <w:color w:val="0F172A"/>
          <w:sz w:val="22"/>
        </w:rPr>
        <w:t xml:space="preserve">Bounded Agent: </w:t>
      </w:r>
      <w:r>
        <w:rPr>
          <w:rFonts w:ascii="Times New Roman" w:hAnsi="Times New Roman"/>
          <w:color w:val="1E293B"/>
          <w:sz w:val="22"/>
        </w:rPr>
        <w:t>An autonomous AI software agent operating within strict operational constraints, predefined action tools, and read-only data boundaries.</w:t>
      </w:r>
    </w:p>
    <w:p>
      <w:pPr>
        <w:pStyle w:val="Heading2"/>
        <w:keepNext/>
        <w:spacing w:before="280" w:after="120"/>
      </w:pPr>
      <w:r>
        <w:rPr>
          <w:rFonts w:ascii="Times New Roman" w:hAnsi="Times New Roman"/>
          <w:b/>
          <w:color w:val="0F172A"/>
          <w:sz w:val="27"/>
        </w:rPr>
        <w:t>2.2 Existing Solutions and Comparative Analysis</w:t>
      </w:r>
    </w:p>
    <w:p>
      <w:pPr>
        <w:spacing w:line="312" w:lineRule="auto" w:after="120"/>
        <w:jc w:val="both"/>
      </w:pPr>
      <w:r>
        <w:rPr>
          <w:rFonts w:ascii="Times New Roman" w:hAnsi="Times New Roman"/>
          <w:color w:val="1E293B"/>
          <w:sz w:val="23"/>
        </w:rPr>
        <w:t>Existing approaches to insurance document review span traditional manual review, legacy rule-based tools, generic diff utilities, and modern enterprise AI systems. Table 2.1 presents a comparative assessment.</w:t>
      </w:r>
    </w:p>
    <w:tbl>
      <w:tblPr>
        <w:tblW w:type="auto" w:w="0"/>
        <w:jc w:val="center"/>
        <w:tblLook w:firstColumn="1" w:firstRow="1" w:lastColumn="0" w:lastRow="0" w:noHBand="0" w:noVBand="1" w:val="04A0"/>
      </w:tblPr>
      <w:tblGrid>
        <w:gridCol w:w="2257"/>
        <w:gridCol w:w="2257"/>
        <w:gridCol w:w="2257"/>
        <w:gridCol w:w="2257"/>
      </w:tblGrid>
      <w:tr>
        <w:trPr>
          <w:cantSplit/>
          <w:tblHeader/>
        </w:trPr>
        <w:tc>
          <w:tcPr>
            <w:tcW w:type="dxa" w:w="2160"/>
            <w:tcMar>
              <w:top w:w="120" w:type="dxa"/>
              <w:bottom w:w="120" w:type="dxa"/>
              <w:left w:w="140" w:type="dxa"/>
              <w:right w:w="140" w:type="dxa"/>
            </w:tcMar>
            <w:shd w:fill="1E293B"/>
          </w:tcPr>
          <w:p>
            <w:pPr>
              <w:spacing w:before="40" w:after="40"/>
              <w:jc w:val="center"/>
            </w:pPr>
            <w:r>
              <w:rPr>
                <w:rFonts w:ascii="Times New Roman" w:hAnsi="Times New Roman"/>
                <w:b/>
                <w:color w:val="FFFFFF"/>
                <w:sz w:val="20"/>
              </w:rPr>
              <w:t>Approach</w:t>
            </w:r>
          </w:p>
        </w:tc>
        <w:tc>
          <w:tcPr>
            <w:tcW w:type="dxa" w:w="2592"/>
            <w:tcMar>
              <w:top w:w="120" w:type="dxa"/>
              <w:bottom w:w="120" w:type="dxa"/>
              <w:left w:w="140" w:type="dxa"/>
              <w:right w:w="140" w:type="dxa"/>
            </w:tcMar>
            <w:shd w:fill="1E293B"/>
          </w:tcPr>
          <w:p>
            <w:pPr>
              <w:spacing w:before="40" w:after="40"/>
              <w:jc w:val="center"/>
            </w:pPr>
            <w:r>
              <w:rPr>
                <w:rFonts w:ascii="Times New Roman" w:hAnsi="Times New Roman"/>
                <w:b/>
                <w:color w:val="FFFFFF"/>
                <w:sz w:val="20"/>
              </w:rPr>
              <w:t>Main Capability</w:t>
            </w:r>
          </w:p>
        </w:tc>
        <w:tc>
          <w:tcPr>
            <w:tcW w:type="dxa" w:w="2592"/>
            <w:tcMar>
              <w:top w:w="120" w:type="dxa"/>
              <w:bottom w:w="120" w:type="dxa"/>
              <w:left w:w="140" w:type="dxa"/>
              <w:right w:w="140" w:type="dxa"/>
            </w:tcMar>
            <w:shd w:fill="1E293B"/>
          </w:tcPr>
          <w:p>
            <w:pPr>
              <w:spacing w:before="40" w:after="40"/>
              <w:jc w:val="center"/>
            </w:pPr>
            <w:r>
              <w:rPr>
                <w:rFonts w:ascii="Times New Roman" w:hAnsi="Times New Roman"/>
                <w:b/>
                <w:color w:val="FFFFFF"/>
                <w:sz w:val="20"/>
              </w:rPr>
              <w:t>Key Limitations</w:t>
            </w:r>
          </w:p>
        </w:tc>
        <w:tc>
          <w:tcPr>
            <w:tcW w:type="dxa" w:w="2160"/>
            <w:tcMar>
              <w:top w:w="120" w:type="dxa"/>
              <w:bottom w:w="120" w:type="dxa"/>
              <w:left w:w="140" w:type="dxa"/>
              <w:right w:w="140" w:type="dxa"/>
            </w:tcMar>
            <w:shd w:fill="1E293B"/>
          </w:tcPr>
          <w:p>
            <w:pPr>
              <w:spacing w:before="40" w:after="40"/>
              <w:jc w:val="center"/>
            </w:pPr>
            <w:r>
              <w:rPr>
                <w:rFonts w:ascii="Times New Roman" w:hAnsi="Times New Roman"/>
                <w:b/>
                <w:color w:val="FFFFFF"/>
                <w:sz w:val="20"/>
              </w:rPr>
              <w:t>Relevance to CTL</w:t>
            </w:r>
          </w:p>
        </w:tc>
      </w:tr>
      <w:tr>
        <w:trPr>
          <w:cantSplit/>
        </w:trPr>
        <w:tc>
          <w:tcPr>
            <w:tcW w:type="dxa" w:w="2160"/>
            <w:tcMar>
              <w:top w:w="120" w:type="dxa"/>
              <w:bottom w:w="120" w:type="dxa"/>
              <w:left w:w="140" w:type="dxa"/>
              <w:right w:w="140" w:type="dxa"/>
            </w:tcMar>
            <w:shd w:fill="F8FAFC"/>
          </w:tcPr>
          <w:p>
            <w:pPr>
              <w:spacing w:before="40" w:after="40"/>
            </w:pPr>
            <w:r>
              <w:rPr>
                <w:rFonts w:ascii="Times New Roman" w:hAnsi="Times New Roman"/>
                <w:color w:val="1E293B"/>
                <w:sz w:val="19"/>
              </w:rPr>
              <w:t>Manual Underwriter Review</w:t>
            </w:r>
          </w:p>
        </w:tc>
        <w:tc>
          <w:tcPr>
            <w:tcW w:type="dxa" w:w="2592"/>
            <w:tcMar>
              <w:top w:w="120" w:type="dxa"/>
              <w:bottom w:w="120" w:type="dxa"/>
              <w:left w:w="140" w:type="dxa"/>
              <w:right w:w="140" w:type="dxa"/>
            </w:tcMar>
            <w:shd w:fill="F8FAFC"/>
          </w:tcPr>
          <w:p>
            <w:pPr>
              <w:spacing w:before="40" w:after="40"/>
            </w:pPr>
            <w:r>
              <w:rPr>
                <w:rFonts w:ascii="Times New Roman" w:hAnsi="Times New Roman"/>
                <w:color w:val="1E293B"/>
                <w:sz w:val="19"/>
              </w:rPr>
              <w:t>Expert legal interpretation of contract language.</w:t>
            </w:r>
          </w:p>
        </w:tc>
        <w:tc>
          <w:tcPr>
            <w:tcW w:type="dxa" w:w="2592"/>
            <w:tcMar>
              <w:top w:w="120" w:type="dxa"/>
              <w:bottom w:w="120" w:type="dxa"/>
              <w:left w:w="140" w:type="dxa"/>
              <w:right w:w="140" w:type="dxa"/>
            </w:tcMar>
            <w:shd w:fill="F8FAFC"/>
          </w:tcPr>
          <w:p>
            <w:pPr>
              <w:spacing w:before="40" w:after="40"/>
            </w:pPr>
            <w:r>
              <w:rPr>
                <w:rFonts w:ascii="Times New Roman" w:hAnsi="Times New Roman"/>
                <w:color w:val="1E293B"/>
                <w:sz w:val="19"/>
              </w:rPr>
              <w:t>Extremely slow, high labor cost, prone to cognitive fatigue.</w:t>
            </w:r>
          </w:p>
        </w:tc>
        <w:tc>
          <w:tcPr>
            <w:tcW w:type="dxa" w:w="2160"/>
            <w:tcMar>
              <w:top w:w="120" w:type="dxa"/>
              <w:bottom w:w="120" w:type="dxa"/>
              <w:left w:w="140" w:type="dxa"/>
              <w:right w:w="140" w:type="dxa"/>
            </w:tcMar>
            <w:shd w:fill="F8FAFC"/>
          </w:tcPr>
          <w:p>
            <w:pPr>
              <w:spacing w:before="40" w:after="40"/>
            </w:pPr>
            <w:r>
              <w:rPr>
                <w:rFonts w:ascii="Times New Roman" w:hAnsi="Times New Roman"/>
                <w:color w:val="1E293B"/>
                <w:sz w:val="19"/>
              </w:rPr>
              <w:t>Establishes the review baseline that CTL aims to assist.</w:t>
            </w:r>
          </w:p>
        </w:tc>
      </w:tr>
      <w:tr>
        <w:trPr>
          <w:cantSplit/>
        </w:trPr>
        <w:tc>
          <w:tcPr>
            <w:tcW w:type="dxa" w:w="2160"/>
            <w:tcMar>
              <w:top w:w="120" w:type="dxa"/>
              <w:bottom w:w="120" w:type="dxa"/>
              <w:left w:w="140" w:type="dxa"/>
              <w:right w:w="140" w:type="dxa"/>
            </w:tcMar>
            <w:shd w:fill="FFFFFF"/>
          </w:tcPr>
          <w:p>
            <w:pPr>
              <w:spacing w:before="40" w:after="40"/>
            </w:pPr>
            <w:r>
              <w:rPr>
                <w:rFonts w:ascii="Times New Roman" w:hAnsi="Times New Roman"/>
                <w:color w:val="1E293B"/>
                <w:sz w:val="19"/>
              </w:rPr>
              <w:t>Rule-Based Regex / OCR Scripts</w:t>
            </w:r>
          </w:p>
        </w:tc>
        <w:tc>
          <w:tcPr>
            <w:tcW w:type="dxa" w:w="2592"/>
            <w:tcMar>
              <w:top w:w="120" w:type="dxa"/>
              <w:bottom w:w="120" w:type="dxa"/>
              <w:left w:w="140" w:type="dxa"/>
              <w:right w:w="140" w:type="dxa"/>
            </w:tcMar>
            <w:shd w:fill="FFFFFF"/>
          </w:tcPr>
          <w:p>
            <w:pPr>
              <w:spacing w:before="40" w:after="40"/>
            </w:pPr>
            <w:r>
              <w:rPr>
                <w:rFonts w:ascii="Times New Roman" w:hAnsi="Times New Roman"/>
                <w:color w:val="1E293B"/>
                <w:sz w:val="19"/>
              </w:rPr>
              <w:t>Rapid extraction of structured fields (names, policy numbers).</w:t>
            </w:r>
          </w:p>
        </w:tc>
        <w:tc>
          <w:tcPr>
            <w:tcW w:type="dxa" w:w="2592"/>
            <w:tcMar>
              <w:top w:w="120" w:type="dxa"/>
              <w:bottom w:w="120" w:type="dxa"/>
              <w:left w:w="140" w:type="dxa"/>
              <w:right w:w="140" w:type="dxa"/>
            </w:tcMar>
            <w:shd w:fill="FFFFFF"/>
          </w:tcPr>
          <w:p>
            <w:pPr>
              <w:spacing w:before="40" w:after="40"/>
            </w:pPr>
            <w:r>
              <w:rPr>
                <w:rFonts w:ascii="Times New Roman" w:hAnsi="Times New Roman"/>
                <w:color w:val="1E293B"/>
                <w:sz w:val="19"/>
              </w:rPr>
              <w:t>Brittle, fails on layout variations, cannot parse legal nuance.</w:t>
            </w:r>
          </w:p>
        </w:tc>
        <w:tc>
          <w:tcPr>
            <w:tcW w:type="dxa" w:w="2160"/>
            <w:tcMar>
              <w:top w:w="120" w:type="dxa"/>
              <w:bottom w:w="120" w:type="dxa"/>
              <w:left w:w="140" w:type="dxa"/>
              <w:right w:w="140" w:type="dxa"/>
            </w:tcMar>
            <w:shd w:fill="FFFFFF"/>
          </w:tcPr>
          <w:p>
            <w:pPr>
              <w:spacing w:before="40" w:after="40"/>
            </w:pPr>
            <w:r>
              <w:rPr>
                <w:rFonts w:ascii="Times New Roman" w:hAnsi="Times New Roman"/>
                <w:color w:val="1E293B"/>
                <w:sz w:val="19"/>
              </w:rPr>
              <w:t>Informs CTL's deterministic numerical verification stage.</w:t>
            </w:r>
          </w:p>
        </w:tc>
      </w:tr>
      <w:tr>
        <w:trPr>
          <w:cantSplit/>
        </w:trPr>
        <w:tc>
          <w:tcPr>
            <w:tcW w:type="dxa" w:w="2160"/>
            <w:tcMar>
              <w:top w:w="120" w:type="dxa"/>
              <w:bottom w:w="120" w:type="dxa"/>
              <w:left w:w="140" w:type="dxa"/>
              <w:right w:w="140" w:type="dxa"/>
            </w:tcMar>
            <w:shd w:fill="F8FAFC"/>
          </w:tcPr>
          <w:p>
            <w:pPr>
              <w:spacing w:before="40" w:after="40"/>
            </w:pPr>
            <w:r>
              <w:rPr>
                <w:rFonts w:ascii="Times New Roman" w:hAnsi="Times New Roman"/>
                <w:color w:val="1E293B"/>
                <w:sz w:val="19"/>
              </w:rPr>
              <w:t>Standard Document Diff (e.g. Word Diff)</w:t>
            </w:r>
          </w:p>
        </w:tc>
        <w:tc>
          <w:tcPr>
            <w:tcW w:type="dxa" w:w="2592"/>
            <w:tcMar>
              <w:top w:w="120" w:type="dxa"/>
              <w:bottom w:w="120" w:type="dxa"/>
              <w:left w:w="140" w:type="dxa"/>
              <w:right w:w="140" w:type="dxa"/>
            </w:tcMar>
            <w:shd w:fill="F8FAFC"/>
          </w:tcPr>
          <w:p>
            <w:pPr>
              <w:spacing w:before="40" w:after="40"/>
            </w:pPr>
            <w:r>
              <w:rPr>
                <w:rFonts w:ascii="Times New Roman" w:hAnsi="Times New Roman"/>
                <w:color w:val="1E293B"/>
                <w:sz w:val="19"/>
              </w:rPr>
              <w:t>Highlights character-level textual additions and deletions.</w:t>
            </w:r>
          </w:p>
        </w:tc>
        <w:tc>
          <w:tcPr>
            <w:tcW w:type="dxa" w:w="2592"/>
            <w:tcMar>
              <w:top w:w="120" w:type="dxa"/>
              <w:bottom w:w="120" w:type="dxa"/>
              <w:left w:w="140" w:type="dxa"/>
              <w:right w:w="140" w:type="dxa"/>
            </w:tcMar>
            <w:shd w:fill="F8FAFC"/>
          </w:tcPr>
          <w:p>
            <w:pPr>
              <w:spacing w:before="40" w:after="40"/>
            </w:pPr>
            <w:r>
              <w:rPr>
                <w:rFonts w:ascii="Times New Roman" w:hAnsi="Times New Roman"/>
                <w:color w:val="1E293B"/>
                <w:sz w:val="19"/>
              </w:rPr>
              <w:t>Requires identical document templates; fails across quote vs policy.</w:t>
            </w:r>
          </w:p>
        </w:tc>
        <w:tc>
          <w:tcPr>
            <w:tcW w:type="dxa" w:w="2160"/>
            <w:tcMar>
              <w:top w:w="120" w:type="dxa"/>
              <w:bottom w:w="120" w:type="dxa"/>
              <w:left w:w="140" w:type="dxa"/>
              <w:right w:w="140" w:type="dxa"/>
            </w:tcMar>
            <w:shd w:fill="F8FAFC"/>
          </w:tcPr>
          <w:p>
            <w:pPr>
              <w:spacing w:before="40" w:after="40"/>
            </w:pPr>
            <w:r>
              <w:rPr>
                <w:rFonts w:ascii="Times New Roman" w:hAnsi="Times New Roman"/>
                <w:color w:val="1E293B"/>
                <w:sz w:val="19"/>
              </w:rPr>
              <w:t>Demonstrates the need for semantic rather than lexical comparison.</w:t>
            </w:r>
          </w:p>
        </w:tc>
      </w:tr>
      <w:tr>
        <w:trPr>
          <w:cantSplit/>
        </w:trPr>
        <w:tc>
          <w:tcPr>
            <w:tcW w:type="dxa" w:w="2160"/>
            <w:tcMar>
              <w:top w:w="120" w:type="dxa"/>
              <w:bottom w:w="120" w:type="dxa"/>
              <w:left w:w="140" w:type="dxa"/>
              <w:right w:w="140" w:type="dxa"/>
            </w:tcMar>
            <w:shd w:fill="FFFFFF"/>
          </w:tcPr>
          <w:p>
            <w:pPr>
              <w:spacing w:before="40" w:after="40"/>
            </w:pPr>
            <w:r>
              <w:rPr>
                <w:rFonts w:ascii="Times New Roman" w:hAnsi="Times New Roman"/>
                <w:color w:val="1E293B"/>
                <w:sz w:val="19"/>
              </w:rPr>
              <w:t>Generic LLMs (e.g. ChatGPT, Claude)</w:t>
            </w:r>
          </w:p>
        </w:tc>
        <w:tc>
          <w:tcPr>
            <w:tcW w:type="dxa" w:w="2592"/>
            <w:tcMar>
              <w:top w:w="120" w:type="dxa"/>
              <w:bottom w:w="120" w:type="dxa"/>
              <w:left w:w="140" w:type="dxa"/>
              <w:right w:w="140" w:type="dxa"/>
            </w:tcMar>
            <w:shd w:fill="FFFFFF"/>
          </w:tcPr>
          <w:p>
            <w:pPr>
              <w:spacing w:before="40" w:after="40"/>
            </w:pPr>
            <w:r>
              <w:rPr>
                <w:rFonts w:ascii="Times New Roman" w:hAnsi="Times New Roman"/>
                <w:color w:val="1E293B"/>
                <w:sz w:val="19"/>
              </w:rPr>
              <w:t>Broad natural language understanding and contract summarization.</w:t>
            </w:r>
          </w:p>
        </w:tc>
        <w:tc>
          <w:tcPr>
            <w:tcW w:type="dxa" w:w="2592"/>
            <w:tcMar>
              <w:top w:w="120" w:type="dxa"/>
              <w:bottom w:w="120" w:type="dxa"/>
              <w:left w:w="140" w:type="dxa"/>
              <w:right w:w="140" w:type="dxa"/>
            </w:tcMar>
            <w:shd w:fill="FFFFFF"/>
          </w:tcPr>
          <w:p>
            <w:pPr>
              <w:spacing w:before="40" w:after="40"/>
            </w:pPr>
            <w:r>
              <w:rPr>
                <w:rFonts w:ascii="Times New Roman" w:hAnsi="Times New Roman"/>
                <w:color w:val="1E293B"/>
                <w:sz w:val="19"/>
              </w:rPr>
              <w:t>Prone to hallucinations, lacks provenance coordinates, security risks.</w:t>
            </w:r>
          </w:p>
        </w:tc>
        <w:tc>
          <w:tcPr>
            <w:tcW w:type="dxa" w:w="2160"/>
            <w:tcMar>
              <w:top w:w="120" w:type="dxa"/>
              <w:bottom w:w="120" w:type="dxa"/>
              <w:left w:w="140" w:type="dxa"/>
              <w:right w:w="140" w:type="dxa"/>
            </w:tcMar>
            <w:shd w:fill="FFFFFF"/>
          </w:tcPr>
          <w:p>
            <w:pPr>
              <w:spacing w:before="40" w:after="40"/>
            </w:pPr>
            <w:r>
              <w:rPr>
                <w:rFonts w:ascii="Times New Roman" w:hAnsi="Times New Roman"/>
                <w:color w:val="1E293B"/>
                <w:sz w:val="19"/>
              </w:rPr>
              <w:t>Highlights the necessity of CTL's hybrid bounded-agent architecture.</w:t>
            </w:r>
          </w:p>
        </w:tc>
      </w:tr>
    </w:tbl>
    <w:p>
      <w:pPr>
        <w:spacing w:line="312" w:lineRule="auto" w:after="240"/>
        <w:jc w:val="both"/>
      </w:pPr>
      <w:r>
        <w:rPr>
          <w:rFonts w:ascii="Times New Roman" w:hAnsi="Times New Roman"/>
          <w:color w:val="1E293B"/>
          <w:sz w:val="23"/>
        </w:rPr>
        <w:t>Table 2.1: Comparative Analysis of Existing Insurance Document Solutions.</w:t>
      </w:r>
    </w:p>
    <w:p>
      <w:pPr>
        <w:pStyle w:val="Heading2"/>
        <w:keepNext/>
        <w:spacing w:before="280" w:after="120"/>
      </w:pPr>
      <w:r>
        <w:rPr>
          <w:rFonts w:ascii="Times New Roman" w:hAnsi="Times New Roman"/>
          <w:b/>
          <w:color w:val="0F172A"/>
          <w:sz w:val="27"/>
        </w:rPr>
        <w:t>2.3 Related Works in Document Intelligence &amp; LLMs</w:t>
      </w:r>
    </w:p>
    <w:p>
      <w:pPr>
        <w:spacing w:line="312" w:lineRule="auto" w:after="120"/>
        <w:jc w:val="both"/>
      </w:pPr>
      <w:r>
        <w:rPr>
          <w:rFonts w:ascii="Times New Roman" w:hAnsi="Times New Roman"/>
          <w:color w:val="1E293B"/>
          <w:sz w:val="23"/>
        </w:rPr>
        <w:t>The design of Coverage Truth Layer is informed by several foundational academic research breakthroughs in natural language processing and document intelligence:</w:t>
      </w:r>
    </w:p>
    <w:p>
      <w:pPr>
        <w:spacing w:line="312" w:lineRule="auto" w:after="120"/>
        <w:jc w:val="both"/>
      </w:pPr>
      <w:r>
        <w:rPr>
          <w:rFonts w:ascii="Times New Roman" w:hAnsi="Times New Roman"/>
          <w:b/>
          <w:color w:val="0F172A"/>
          <w:sz w:val="23"/>
        </w:rPr>
        <w:t xml:space="preserve">1. Transformer Architecture &amp; Contextual Language Models: </w:t>
      </w:r>
      <w:r>
        <w:rPr>
          <w:rFonts w:ascii="Times New Roman" w:hAnsi="Times New Roman"/>
          <w:color w:val="1E293B"/>
          <w:sz w:val="23"/>
        </w:rPr>
        <w:t>The seminal work by Vaswani et al. [1] introduced the self-attention mechanism, enabling models to capture long-range linguistic dependencies. Devlin et al. [2] expanded this with BERT, demonstrating bidirectional contextual representations. These models provide the linguistic foundation for parsing dense insurance legal syntax.</w:t>
      </w:r>
    </w:p>
    <w:p>
      <w:pPr>
        <w:spacing w:line="312" w:lineRule="auto" w:after="120"/>
        <w:jc w:val="both"/>
      </w:pPr>
      <w:r>
        <w:rPr>
          <w:rFonts w:ascii="Times New Roman" w:hAnsi="Times New Roman"/>
          <w:b/>
          <w:color w:val="0F172A"/>
          <w:sz w:val="23"/>
        </w:rPr>
        <w:t xml:space="preserve">2. Document AI and Multi-Modal Extraction: </w:t>
      </w:r>
      <w:r>
        <w:rPr>
          <w:rFonts w:ascii="Times New Roman" w:hAnsi="Times New Roman"/>
          <w:color w:val="1E293B"/>
          <w:sz w:val="23"/>
        </w:rPr>
        <w:t>Cui et al. [3] surveyed Document AI technologies, demonstrating that combining visual document layout with textual tokens significantly improves information extraction over raw text alone. This informs CTL’s design of bounding coordinate tokens.</w:t>
      </w:r>
    </w:p>
    <w:p>
      <w:pPr>
        <w:spacing w:line="312" w:lineRule="auto" w:after="120"/>
        <w:jc w:val="both"/>
      </w:pPr>
      <w:r>
        <w:rPr>
          <w:rFonts w:ascii="Times New Roman" w:hAnsi="Times New Roman"/>
          <w:b/>
          <w:color w:val="0F172A"/>
          <w:sz w:val="23"/>
        </w:rPr>
        <w:t xml:space="preserve">3. Legal Contract Understanding &amp; Benchmarking: </w:t>
      </w:r>
      <w:r>
        <w:rPr>
          <w:rFonts w:ascii="Times New Roman" w:hAnsi="Times New Roman"/>
          <w:color w:val="1E293B"/>
          <w:sz w:val="23"/>
        </w:rPr>
        <w:t>Hendrycks et al. [4] released CUAD (Contract Understanding Atticus Dataset), a comprehensive benchmark for legal contract review using NLP. Their findings demonstrated that while deep learning models excel at identifying standard clauses, human-in-the-loop oversight is essential for edge cases and high-stakes contractual liability.</w:t>
      </w:r>
    </w:p>
    <w:p>
      <w:pPr>
        <w:spacing w:line="312" w:lineRule="auto" w:after="120"/>
        <w:jc w:val="both"/>
      </w:pPr>
      <w:r>
        <w:rPr>
          <w:rFonts w:ascii="Times New Roman" w:hAnsi="Times New Roman"/>
          <w:b/>
          <w:color w:val="0F172A"/>
          <w:sz w:val="23"/>
        </w:rPr>
        <w:t xml:space="preserve">4. Retrieval-Augmented Generation (RAG) &amp; Provenance: </w:t>
      </w:r>
      <w:r>
        <w:rPr>
          <w:rFonts w:ascii="Times New Roman" w:hAnsi="Times New Roman"/>
          <w:color w:val="1E293B"/>
          <w:sz w:val="23"/>
        </w:rPr>
        <w:t>Lewis et al. [5] proposed RAG, grounding generative outputs in retrieved authoritative passages to mitigate model hallucination. CTL adopts this principle by mandating 100% evidence provenance for all flagged contradictions.</w:t>
      </w:r>
    </w:p>
    <w:p>
      <w:pPr>
        <w:spacing w:line="312" w:lineRule="auto" w:after="120"/>
        <w:jc w:val="both"/>
      </w:pPr>
      <w:r>
        <w:rPr>
          <w:rFonts w:ascii="Times New Roman" w:hAnsi="Times New Roman"/>
          <w:b/>
          <w:color w:val="0F172A"/>
          <w:sz w:val="23"/>
        </w:rPr>
        <w:t xml:space="preserve">5. Explainability and Bounded Decision Systems: </w:t>
      </w:r>
      <w:r>
        <w:rPr>
          <w:rFonts w:ascii="Times New Roman" w:hAnsi="Times New Roman"/>
          <w:color w:val="1E293B"/>
          <w:sz w:val="23"/>
        </w:rPr>
        <w:t>Ribeiro et al. [6] emphasized that for high-stakes enterprise decisions, model predictions must be accompanied by locally interpretable explanations. CTL implements this via dual-pane wording diffs and explicit uncertainty scores.</w:t>
      </w:r>
    </w:p>
    <w:p>
      <w:pPr>
        <w:pStyle w:val="Heading2"/>
        <w:keepNext/>
        <w:spacing w:before="280" w:after="120"/>
      </w:pPr>
      <w:r>
        <w:rPr>
          <w:rFonts w:ascii="Times New Roman" w:hAnsi="Times New Roman"/>
          <w:b/>
          <w:color w:val="0F172A"/>
          <w:sz w:val="27"/>
        </w:rPr>
        <w:t>2.4 Tools and Technologies Used</w:t>
      </w:r>
    </w:p>
    <w:p>
      <w:pPr>
        <w:pStyle w:val="Heading3"/>
        <w:keepNext/>
        <w:spacing w:before="280" w:after="120"/>
      </w:pPr>
      <w:r>
        <w:rPr>
          <w:rFonts w:ascii="Times New Roman" w:hAnsi="Times New Roman"/>
          <w:b/>
          <w:color w:val="0F172A"/>
          <w:sz w:val="24"/>
        </w:rPr>
        <w:t>2.4.1 Programming and Frontend/Backend Frameworks</w:t>
      </w:r>
    </w:p>
    <w:p>
      <w:pPr>
        <w:spacing w:line="312" w:lineRule="auto" w:after="120"/>
        <w:jc w:val="both"/>
      </w:pPr>
      <w:r>
        <w:rPr>
          <w:rFonts w:ascii="Times New Roman" w:hAnsi="Times New Roman"/>
          <w:color w:val="1E293B"/>
          <w:sz w:val="23"/>
        </w:rPr>
        <w:t>The current implementation is engineered as a modern, high-performance web application utilizing:</w:t>
      </w:r>
    </w:p>
    <w:p>
      <w:pPr>
        <w:pStyle w:val="ListBullet"/>
        <w:spacing w:line="300" w:lineRule="auto" w:after="80"/>
        <w:jc w:val="both"/>
      </w:pPr>
      <w:r>
        <w:rPr>
          <w:rFonts w:ascii="Times New Roman" w:hAnsi="Times New Roman"/>
          <w:b/>
          <w:color w:val="0F172A"/>
          <w:sz w:val="22"/>
        </w:rPr>
        <w:t xml:space="preserve">React 18 &amp; TypeScript: </w:t>
      </w:r>
      <w:r>
        <w:rPr>
          <w:rFonts w:ascii="Times New Roman" w:hAnsi="Times New Roman"/>
          <w:color w:val="1E293B"/>
          <w:sz w:val="22"/>
        </w:rPr>
        <w:t>Provides a strongly typed component architecture, state management safety, and seamless reactive updates.</w:t>
      </w:r>
    </w:p>
    <w:p>
      <w:pPr>
        <w:pStyle w:val="ListBullet"/>
        <w:spacing w:line="300" w:lineRule="auto" w:after="80"/>
        <w:jc w:val="both"/>
      </w:pPr>
      <w:r>
        <w:rPr>
          <w:rFonts w:ascii="Times New Roman" w:hAnsi="Times New Roman"/>
          <w:b/>
          <w:color w:val="0F172A"/>
          <w:sz w:val="22"/>
        </w:rPr>
        <w:t xml:space="preserve">Vite 6 Bundler: </w:t>
      </w:r>
      <w:r>
        <w:rPr>
          <w:rFonts w:ascii="Times New Roman" w:hAnsi="Times New Roman"/>
          <w:color w:val="1E293B"/>
          <w:sz w:val="22"/>
        </w:rPr>
        <w:t>Delivers near-instantaneous hot module replacement (HMR) and optimized Rollup production bundling.</w:t>
      </w:r>
    </w:p>
    <w:p>
      <w:pPr>
        <w:pStyle w:val="ListBullet"/>
        <w:spacing w:line="300" w:lineRule="auto" w:after="80"/>
        <w:jc w:val="both"/>
      </w:pPr>
      <w:r>
        <w:rPr>
          <w:rFonts w:ascii="Times New Roman" w:hAnsi="Times New Roman"/>
          <w:b/>
          <w:color w:val="0F172A"/>
          <w:sz w:val="22"/>
        </w:rPr>
        <w:t xml:space="preserve">Tailwind CSS: </w:t>
      </w:r>
      <w:r>
        <w:rPr>
          <w:rFonts w:ascii="Times New Roman" w:hAnsi="Times New Roman"/>
          <w:color w:val="1E293B"/>
          <w:sz w:val="22"/>
        </w:rPr>
        <w:t>Enables a bespoke enterprise design system featuring dark navy backgrounds (#070A12), electric cyan (#00E5FF) evidence anchors, and restrained violet (#A855F7) agent indicators.</w:t>
      </w:r>
    </w:p>
    <w:p>
      <w:pPr>
        <w:pStyle w:val="ListBullet"/>
        <w:spacing w:line="300" w:lineRule="auto" w:after="80"/>
        <w:jc w:val="both"/>
      </w:pPr>
      <w:r>
        <w:rPr>
          <w:rFonts w:ascii="Times New Roman" w:hAnsi="Times New Roman"/>
          <w:b/>
          <w:color w:val="0F172A"/>
          <w:sz w:val="22"/>
        </w:rPr>
        <w:t xml:space="preserve">Framer Motion: </w:t>
      </w:r>
      <w:r>
        <w:rPr>
          <w:rFonts w:ascii="Times New Roman" w:hAnsi="Times New Roman"/>
          <w:color w:val="1E293B"/>
          <w:sz w:val="22"/>
        </w:rPr>
        <w:t>Powers smooth, purposeful UI transitions and data-flow animations across pipeline stages.</w:t>
      </w:r>
    </w:p>
    <w:p>
      <w:pPr>
        <w:pStyle w:val="ListBullet"/>
        <w:spacing w:line="300" w:lineRule="auto" w:after="80"/>
        <w:jc w:val="both"/>
      </w:pPr>
      <w:r>
        <w:rPr>
          <w:rFonts w:ascii="Times New Roman" w:hAnsi="Times New Roman"/>
          <w:b/>
          <w:color w:val="0F172A"/>
          <w:sz w:val="22"/>
        </w:rPr>
        <w:t xml:space="preserve">LocalStorage API: </w:t>
      </w:r>
      <w:r>
        <w:rPr>
          <w:rFonts w:ascii="Times New Roman" w:hAnsi="Times New Roman"/>
          <w:color w:val="1E293B"/>
          <w:sz w:val="22"/>
        </w:rPr>
        <w:t>Ensures client-side persistence of review statuses, underwriter audit notes, and event ledgers across browser sessions.</w:t>
      </w:r>
    </w:p>
    <w:p>
      <w:pPr>
        <w:pStyle w:val="ListBullet"/>
        <w:spacing w:line="300" w:lineRule="auto" w:after="80"/>
        <w:jc w:val="both"/>
      </w:pPr>
      <w:r>
        <w:rPr>
          <w:rFonts w:ascii="Times New Roman" w:hAnsi="Times New Roman"/>
          <w:b/>
          <w:color w:val="0F172A"/>
          <w:sz w:val="22"/>
        </w:rPr>
        <w:t xml:space="preserve">Vercel Platform: </w:t>
      </w:r>
      <w:r>
        <w:rPr>
          <w:rFonts w:ascii="Times New Roman" w:hAnsi="Times New Roman"/>
          <w:color w:val="1E293B"/>
          <w:sz w:val="22"/>
        </w:rPr>
        <w:t>Hosts the live, publicly accessible production deployment with single-page application (SPA) routing.</w:t>
      </w:r>
    </w:p>
    <w:p>
      <w:pPr>
        <w:pStyle w:val="Heading3"/>
        <w:keepNext/>
        <w:spacing w:before="280" w:after="120"/>
      </w:pPr>
      <w:r>
        <w:rPr>
          <w:rFonts w:ascii="Times New Roman" w:hAnsi="Times New Roman"/>
          <w:b/>
          <w:color w:val="0F172A"/>
          <w:sz w:val="24"/>
        </w:rPr>
        <w:t>2.4.2 AI Models and External Services Architecture</w:t>
      </w:r>
    </w:p>
    <w:p>
      <w:pPr>
        <w:spacing w:line="312" w:lineRule="auto" w:after="120"/>
        <w:jc w:val="both"/>
      </w:pPr>
      <w:r>
        <w:rPr>
          <w:rFonts w:ascii="Times New Roman" w:hAnsi="Times New Roman"/>
          <w:color w:val="1E293B"/>
          <w:sz w:val="23"/>
        </w:rPr>
        <w:t>In accordance with academic rigor, the project clearly delineates implemented logic from proposed external services:</w:t>
      </w:r>
    </w:p>
    <w:p>
      <w:pPr>
        <w:pStyle w:val="ListBullet"/>
        <w:spacing w:line="300" w:lineRule="auto" w:after="80"/>
        <w:jc w:val="both"/>
      </w:pPr>
      <w:r>
        <w:rPr>
          <w:rFonts w:ascii="Times New Roman" w:hAnsi="Times New Roman"/>
          <w:b/>
          <w:color w:val="0F172A"/>
          <w:sz w:val="22"/>
        </w:rPr>
        <w:t xml:space="preserve">Current Implementation: </w:t>
      </w:r>
      <w:r>
        <w:rPr>
          <w:rFonts w:ascii="Times New Roman" w:hAnsi="Times New Roman"/>
          <w:color w:val="1E293B"/>
          <w:sz w:val="22"/>
        </w:rPr>
        <w:t>Executes local deterministic rules, structured fact graphs, and simulated LLM/Agent outputs pre-computed against verified commercial property contracts, ensuring zero external API dependency.</w:t>
      </w:r>
    </w:p>
    <w:p>
      <w:pPr>
        <w:pStyle w:val="ListBullet"/>
        <w:spacing w:line="300" w:lineRule="auto" w:after="80"/>
        <w:jc w:val="both"/>
      </w:pPr>
      <w:r>
        <w:rPr>
          <w:rFonts w:ascii="Times New Roman" w:hAnsi="Times New Roman"/>
          <w:b/>
          <w:color w:val="0F172A"/>
          <w:sz w:val="22"/>
        </w:rPr>
        <w:t xml:space="preserve">Proposed Enterprise Integration: </w:t>
      </w:r>
      <w:r>
        <w:rPr>
          <w:rFonts w:ascii="Times New Roman" w:hAnsi="Times New Roman"/>
          <w:color w:val="1E293B"/>
          <w:sz w:val="22"/>
        </w:rPr>
        <w:t>Designed to connect with OpenAI GPT-4o / Claude 3.5 Sonnet endpoints for semantic comparisons, AWS Textract / Google Document AI for production OCR ingestion, and Guidewire / Applied Epic via RESTful webhook APIs.</w:t>
      </w:r>
    </w:p>
    <w:p>
      <w:r>
        <w:br w:type="page"/>
      </w:r>
    </w:p>
    <w:p>
      <w:pPr>
        <w:pStyle w:val="Heading1"/>
        <w:keepNext/>
        <w:spacing w:before="280" w:after="120"/>
      </w:pPr>
      <w:r>
        <w:rPr>
          <w:rFonts w:ascii="Times New Roman" w:hAnsi="Times New Roman"/>
          <w:b/>
          <w:color w:val="0F172A"/>
          <w:sz w:val="32"/>
        </w:rPr>
        <w:t>CHAPTER 3: DESIGN OF THE PROPOSED SYSTEM</w:t>
      </w:r>
    </w:p>
    <w:p>
      <w:pPr>
        <w:pStyle w:val="Heading2"/>
        <w:keepNext/>
        <w:spacing w:before="280" w:after="120"/>
      </w:pPr>
      <w:r>
        <w:rPr>
          <w:rFonts w:ascii="Times New Roman" w:hAnsi="Times New Roman"/>
          <w:b/>
          <w:color w:val="0F172A"/>
          <w:sz w:val="27"/>
        </w:rPr>
        <w:t>3.1 System Architecture</w:t>
      </w:r>
    </w:p>
    <w:p>
      <w:pPr>
        <w:spacing w:line="312" w:lineRule="auto" w:after="120"/>
        <w:jc w:val="both"/>
      </w:pPr>
      <w:r>
        <w:rPr>
          <w:rFonts w:ascii="Times New Roman" w:hAnsi="Times New Roman"/>
          <w:color w:val="1E293B"/>
          <w:sz w:val="23"/>
        </w:rPr>
        <w:t>The architecture of Coverage Truth Layer is built upon a hybrid paradigm combining deterministic rules with bounded agent exploration. Figure 3.1 illustrates the complete system architecture.</w:t>
      </w:r>
    </w:p>
    <w:p>
      <w:pPr>
        <w:spacing w:before="200" w:after="80"/>
        <w:jc w:val="center"/>
      </w:pPr>
      <w:r>
        <w:drawing>
          <wp:inline xmlns:a="http://schemas.openxmlformats.org/drawingml/2006/main" xmlns:pic="http://schemas.openxmlformats.org/drawingml/2006/picture">
            <wp:extent cx="5669280" cy="3307080"/>
            <wp:docPr id="1" name="Picture 1"/>
            <wp:cNvGraphicFramePr>
              <a:graphicFrameLocks noChangeAspect="1"/>
            </wp:cNvGraphicFramePr>
            <a:graphic>
              <a:graphicData uri="http://schemas.openxmlformats.org/drawingml/2006/picture">
                <pic:pic>
                  <pic:nvPicPr>
                    <pic:cNvPr id="0" name="fig3_1_system_architecture.png"/>
                    <pic:cNvPicPr/>
                  </pic:nvPicPr>
                  <pic:blipFill>
                    <a:blip r:embed="rId9"/>
                    <a:stretch>
                      <a:fillRect/>
                    </a:stretch>
                  </pic:blipFill>
                  <pic:spPr>
                    <a:xfrm>
                      <a:off x="0" y="0"/>
                      <a:ext cx="5669280" cy="3307080"/>
                    </a:xfrm>
                    <a:prstGeom prst="rect"/>
                  </pic:spPr>
                </pic:pic>
              </a:graphicData>
            </a:graphic>
          </wp:inline>
        </w:drawing>
      </w:r>
    </w:p>
    <w:p>
      <w:pPr>
        <w:spacing w:after="240"/>
        <w:jc w:val="center"/>
      </w:pPr>
      <w:r>
        <w:rPr>
          <w:rFonts w:ascii="Times New Roman" w:hAnsi="Times New Roman"/>
          <w:b/>
          <w:i/>
          <w:color w:val="475569"/>
          <w:sz w:val="20"/>
        </w:rPr>
        <w:t>Figure 3.1: Coverage Truth Layer Complete Hybrid System Architecture.</w:t>
      </w:r>
    </w:p>
    <w:p>
      <w:pPr>
        <w:spacing w:line="312" w:lineRule="auto" w:after="120"/>
        <w:jc w:val="both"/>
      </w:pPr>
      <w:r>
        <w:rPr>
          <w:rFonts w:ascii="Times New Roman" w:hAnsi="Times New Roman"/>
          <w:color w:val="1E293B"/>
          <w:sz w:val="23"/>
        </w:rPr>
        <w:t>The system operates across eight sequential stages, with a conditional escalation branch:</w:t>
      </w:r>
    </w:p>
    <w:p>
      <w:pPr>
        <w:spacing w:line="312" w:lineRule="auto" w:after="120"/>
        <w:jc w:val="both"/>
      </w:pPr>
      <w:r>
        <w:rPr>
          <w:rFonts w:ascii="Times New Roman" w:hAnsi="Times New Roman"/>
          <w:b/>
          <w:color w:val="0F172A"/>
          <w:sz w:val="23"/>
        </w:rPr>
        <w:t xml:space="preserve">Stage 1: Document Ingestion &amp; Checksumming: </w:t>
      </w:r>
      <w:r>
        <w:rPr>
          <w:rFonts w:ascii="Times New Roman" w:hAnsi="Times New Roman"/>
          <w:color w:val="1E293B"/>
          <w:sz w:val="23"/>
        </w:rPr>
        <w:t>Authorized insurance documents (PDF, DOCX, TXT) are ingested, assigned cryptographic SHA-256 hashes for non-repudiation, and segmented into legal clause ASTs.</w:t>
      </w:r>
    </w:p>
    <w:p>
      <w:pPr>
        <w:spacing w:line="312" w:lineRule="auto" w:after="120"/>
        <w:jc w:val="both"/>
      </w:pPr>
      <w:r>
        <w:rPr>
          <w:rFonts w:ascii="Times New Roman" w:hAnsi="Times New Roman"/>
          <w:b/>
          <w:color w:val="0F172A"/>
          <w:sz w:val="23"/>
        </w:rPr>
        <w:t xml:space="preserve">Stage 2: Fact Extraction with Provenance: </w:t>
      </w:r>
      <w:r>
        <w:rPr>
          <w:rFonts w:ascii="Times New Roman" w:hAnsi="Times New Roman"/>
          <w:color w:val="1E293B"/>
          <w:sz w:val="23"/>
        </w:rPr>
        <w:t>Extracts structured coverage limits, deductibles, perils, exclusions, and schedules, binding each entity to exact paragraph and line offsets.</w:t>
      </w:r>
    </w:p>
    <w:p>
      <w:pPr>
        <w:spacing w:line="312" w:lineRule="auto" w:after="120"/>
        <w:jc w:val="both"/>
      </w:pPr>
      <w:r>
        <w:rPr>
          <w:rFonts w:ascii="Times New Roman" w:hAnsi="Times New Roman"/>
          <w:b/>
          <w:color w:val="0F172A"/>
          <w:sz w:val="23"/>
        </w:rPr>
        <w:t xml:space="preserve">Stage 3: Chronology Alignment: </w:t>
      </w:r>
      <w:r>
        <w:rPr>
          <w:rFonts w:ascii="Times New Roman" w:hAnsi="Times New Roman"/>
          <w:color w:val="1E293B"/>
          <w:sz w:val="23"/>
        </w:rPr>
        <w:t>Aligns all documents along an effective date timeline, detecting post-binding endorsements and cross-referencing priority-of-terms clauses.</w:t>
      </w:r>
    </w:p>
    <w:p>
      <w:pPr>
        <w:spacing w:line="312" w:lineRule="auto" w:after="120"/>
        <w:jc w:val="both"/>
      </w:pPr>
      <w:r>
        <w:rPr>
          <w:rFonts w:ascii="Times New Roman" w:hAnsi="Times New Roman"/>
          <w:b/>
          <w:color w:val="0F172A"/>
          <w:sz w:val="23"/>
        </w:rPr>
        <w:t xml:space="preserve">Stage 4: Deterministic Rules Check: </w:t>
      </w:r>
      <w:r>
        <w:rPr>
          <w:rFonts w:ascii="Times New Roman" w:hAnsi="Times New Roman"/>
          <w:color w:val="1E293B"/>
          <w:sz w:val="23"/>
        </w:rPr>
        <w:t>Zero-hallucination computational layer that cross-checks numerical limits, deductibles, and coinsurance percentages using arithmetic delta algorithms.</w:t>
      </w:r>
    </w:p>
    <w:p>
      <w:pPr>
        <w:spacing w:line="312" w:lineRule="auto" w:after="120"/>
        <w:jc w:val="both"/>
      </w:pPr>
      <w:r>
        <w:rPr>
          <w:rFonts w:ascii="Times New Roman" w:hAnsi="Times New Roman"/>
          <w:b/>
          <w:color w:val="0F172A"/>
          <w:sz w:val="23"/>
        </w:rPr>
        <w:t xml:space="preserve">Stage 5: LLM Semantic Comparison: </w:t>
      </w:r>
      <w:r>
        <w:rPr>
          <w:rFonts w:ascii="Times New Roman" w:hAnsi="Times New Roman"/>
          <w:color w:val="1E293B"/>
          <w:sz w:val="23"/>
        </w:rPr>
        <w:t>Contextual model evaluating conditional clauses ('notwithstanding any prior indication', 'unless scheduled') to uncover latent coverage contradictions.</w:t>
      </w:r>
    </w:p>
    <w:p>
      <w:pPr>
        <w:spacing w:line="312" w:lineRule="auto" w:after="120"/>
        <w:jc w:val="both"/>
      </w:pPr>
      <w:r>
        <w:rPr>
          <w:rFonts w:ascii="Times New Roman" w:hAnsi="Times New Roman"/>
          <w:b/>
          <w:color w:val="0F172A"/>
          <w:sz w:val="23"/>
        </w:rPr>
        <w:t xml:space="preserve">Stage 6: Escalation Gate: </w:t>
      </w:r>
      <w:r>
        <w:rPr>
          <w:rFonts w:ascii="Times New Roman" w:hAnsi="Times New Roman"/>
          <w:color w:val="1E293B"/>
          <w:sz w:val="23"/>
        </w:rPr>
        <w:t>If numerical variance exceeds 25% or effective dates diverge by more than 14 days, execution branches into Stage 7 (Bounded Agent); otherwise, it advances directly to Stage 8.</w:t>
      </w:r>
    </w:p>
    <w:p>
      <w:pPr>
        <w:spacing w:line="312" w:lineRule="auto" w:after="120"/>
        <w:jc w:val="both"/>
      </w:pPr>
      <w:r>
        <w:rPr>
          <w:rFonts w:ascii="Times New Roman" w:hAnsi="Times New Roman"/>
          <w:b/>
          <w:color w:val="0F172A"/>
          <w:sz w:val="23"/>
        </w:rPr>
        <w:t xml:space="preserve">Stage 7: Bounded Investigation Agent (Violet Branch): </w:t>
      </w:r>
      <w:r>
        <w:rPr>
          <w:rFonts w:ascii="Times New Roman" w:hAnsi="Times New Roman"/>
          <w:color w:val="1E293B"/>
          <w:sz w:val="23"/>
        </w:rPr>
        <w:t>An autonomous agent operating within strict read-only boundaries to inspect transmittal logs, policyholder signature blocks, and precedence clauses.</w:t>
      </w:r>
    </w:p>
    <w:p>
      <w:pPr>
        <w:spacing w:line="312" w:lineRule="auto" w:after="120"/>
        <w:jc w:val="both"/>
      </w:pPr>
      <w:r>
        <w:rPr>
          <w:rFonts w:ascii="Times New Roman" w:hAnsi="Times New Roman"/>
          <w:b/>
          <w:color w:val="0F172A"/>
          <w:sz w:val="23"/>
        </w:rPr>
        <w:t xml:space="preserve">Stage 8: Human Review &amp; Audit Routing: </w:t>
      </w:r>
      <w:r>
        <w:rPr>
          <w:rFonts w:ascii="Times New Roman" w:hAnsi="Times New Roman"/>
          <w:color w:val="1E293B"/>
          <w:sz w:val="23"/>
        </w:rPr>
        <w:t>Packages source-linked evidence dossiers and dispatches them to licensed human underwriters.</w:t>
      </w:r>
    </w:p>
    <w:p>
      <w:pPr>
        <w:pStyle w:val="Heading2"/>
        <w:keepNext/>
        <w:spacing w:before="280" w:after="120"/>
      </w:pPr>
      <w:r>
        <w:rPr>
          <w:rFonts w:ascii="Times New Roman" w:hAnsi="Times New Roman"/>
          <w:b/>
          <w:color w:val="0F172A"/>
          <w:sz w:val="27"/>
        </w:rPr>
        <w:t>3.2 System Requirements — Software and Hardware</w:t>
      </w:r>
    </w:p>
    <w:p>
      <w:pPr>
        <w:spacing w:line="312" w:lineRule="auto" w:after="120"/>
        <w:jc w:val="both"/>
      </w:pPr>
      <w:r>
        <w:rPr>
          <w:rFonts w:ascii="Times New Roman" w:hAnsi="Times New Roman"/>
          <w:color w:val="1E293B"/>
          <w:sz w:val="23"/>
        </w:rPr>
        <w:t>The software and hardware requirements for executing and developing Coverage Truth Layer are outlined in Tables 3.1 and 3.2.</w:t>
      </w:r>
    </w:p>
    <w:tbl>
      <w:tblPr>
        <w:tblW w:type="auto" w:w="0"/>
        <w:jc w:val="center"/>
        <w:tblLook w:firstColumn="1" w:firstRow="1" w:lastColumn="0" w:lastRow="0" w:noHBand="0" w:noVBand="1" w:val="04A0"/>
      </w:tblPr>
      <w:tblGrid>
        <w:gridCol w:w="3010"/>
        <w:gridCol w:w="3010"/>
        <w:gridCol w:w="3010"/>
      </w:tblGrid>
      <w:tr>
        <w:trPr>
          <w:cantSplit/>
          <w:tblHeader/>
        </w:trPr>
        <w:tc>
          <w:tcPr>
            <w:tcW w:type="dxa" w:w="2592"/>
            <w:tcMar>
              <w:top w:w="120" w:type="dxa"/>
              <w:bottom w:w="120" w:type="dxa"/>
              <w:left w:w="140" w:type="dxa"/>
              <w:right w:w="140" w:type="dxa"/>
            </w:tcMar>
            <w:shd w:fill="1E293B"/>
          </w:tcPr>
          <w:p>
            <w:pPr>
              <w:spacing w:before="40" w:after="40"/>
              <w:jc w:val="center"/>
            </w:pPr>
            <w:r>
              <w:rPr>
                <w:rFonts w:ascii="Times New Roman" w:hAnsi="Times New Roman"/>
                <w:b/>
                <w:color w:val="FFFFFF"/>
                <w:sz w:val="20"/>
              </w:rPr>
              <w:t>Software Component</w:t>
            </w:r>
          </w:p>
        </w:tc>
        <w:tc>
          <w:tcPr>
            <w:tcW w:type="dxa" w:w="3168"/>
            <w:tcMar>
              <w:top w:w="120" w:type="dxa"/>
              <w:bottom w:w="120" w:type="dxa"/>
              <w:left w:w="140" w:type="dxa"/>
              <w:right w:w="140" w:type="dxa"/>
            </w:tcMar>
            <w:shd w:fill="1E293B"/>
          </w:tcPr>
          <w:p>
            <w:pPr>
              <w:spacing w:before="40" w:after="40"/>
              <w:jc w:val="center"/>
            </w:pPr>
            <w:r>
              <w:rPr>
                <w:rFonts w:ascii="Times New Roman" w:hAnsi="Times New Roman"/>
                <w:b/>
                <w:color w:val="FFFFFF"/>
                <w:sz w:val="20"/>
              </w:rPr>
              <w:t>Minimum Tested Requirement</w:t>
            </w:r>
          </w:p>
        </w:tc>
        <w:tc>
          <w:tcPr>
            <w:tcW w:type="dxa" w:w="3456"/>
            <w:tcMar>
              <w:top w:w="120" w:type="dxa"/>
              <w:bottom w:w="120" w:type="dxa"/>
              <w:left w:w="140" w:type="dxa"/>
              <w:right w:w="140" w:type="dxa"/>
            </w:tcMar>
            <w:shd w:fill="1E293B"/>
          </w:tcPr>
          <w:p>
            <w:pPr>
              <w:spacing w:before="40" w:after="40"/>
              <w:jc w:val="center"/>
            </w:pPr>
            <w:r>
              <w:rPr>
                <w:rFonts w:ascii="Times New Roman" w:hAnsi="Times New Roman"/>
                <w:b/>
                <w:color w:val="FFFFFF"/>
                <w:sz w:val="20"/>
              </w:rPr>
              <w:t>Recommended Production Specification</w:t>
            </w:r>
          </w:p>
        </w:tc>
      </w:tr>
      <w:tr>
        <w:trPr>
          <w:cantSplit/>
        </w:trPr>
        <w:tc>
          <w:tcPr>
            <w:tcW w:type="dxa" w:w="2592"/>
            <w:tcMar>
              <w:top w:w="120" w:type="dxa"/>
              <w:bottom w:w="120" w:type="dxa"/>
              <w:left w:w="140" w:type="dxa"/>
              <w:right w:w="140" w:type="dxa"/>
            </w:tcMar>
            <w:shd w:fill="F8FAFC"/>
          </w:tcPr>
          <w:p>
            <w:pPr>
              <w:spacing w:before="40" w:after="40"/>
            </w:pPr>
            <w:r>
              <w:rPr>
                <w:rFonts w:ascii="Times New Roman" w:hAnsi="Times New Roman"/>
                <w:color w:val="1E293B"/>
                <w:sz w:val="19"/>
              </w:rPr>
              <w:t>Operating System</w:t>
            </w:r>
          </w:p>
        </w:tc>
        <w:tc>
          <w:tcPr>
            <w:tcW w:type="dxa" w:w="3168"/>
            <w:tcMar>
              <w:top w:w="120" w:type="dxa"/>
              <w:bottom w:w="120" w:type="dxa"/>
              <w:left w:w="140" w:type="dxa"/>
              <w:right w:w="140" w:type="dxa"/>
            </w:tcMar>
            <w:shd w:fill="F8FAFC"/>
          </w:tcPr>
          <w:p>
            <w:pPr>
              <w:spacing w:before="40" w:after="40"/>
            </w:pPr>
            <w:r>
              <w:rPr>
                <w:rFonts w:ascii="Times New Roman" w:hAnsi="Times New Roman"/>
                <w:color w:val="1E293B"/>
                <w:sz w:val="19"/>
              </w:rPr>
              <w:t>Windows 10 / 11, Ubuntu 22.04 LTS</w:t>
            </w:r>
          </w:p>
        </w:tc>
        <w:tc>
          <w:tcPr>
            <w:tcW w:type="dxa" w:w="3456"/>
            <w:tcMar>
              <w:top w:w="120" w:type="dxa"/>
              <w:bottom w:w="120" w:type="dxa"/>
              <w:left w:w="140" w:type="dxa"/>
              <w:right w:w="140" w:type="dxa"/>
            </w:tcMar>
            <w:shd w:fill="F8FAFC"/>
          </w:tcPr>
          <w:p>
            <w:pPr>
              <w:spacing w:before="40" w:after="40"/>
            </w:pPr>
            <w:r>
              <w:rPr>
                <w:rFonts w:ascii="Times New Roman" w:hAnsi="Times New Roman"/>
                <w:color w:val="1E293B"/>
                <w:sz w:val="19"/>
              </w:rPr>
              <w:t>Cross-platform (Windows / Linux / macOS)</w:t>
            </w:r>
          </w:p>
        </w:tc>
      </w:tr>
      <w:tr>
        <w:trPr>
          <w:cantSplit/>
        </w:trPr>
        <w:tc>
          <w:tcPr>
            <w:tcW w:type="dxa" w:w="2592"/>
            <w:tcMar>
              <w:top w:w="120" w:type="dxa"/>
              <w:bottom w:w="120" w:type="dxa"/>
              <w:left w:w="140" w:type="dxa"/>
              <w:right w:w="140" w:type="dxa"/>
            </w:tcMar>
            <w:shd w:fill="FFFFFF"/>
          </w:tcPr>
          <w:p>
            <w:pPr>
              <w:spacing w:before="40" w:after="40"/>
            </w:pPr>
            <w:r>
              <w:rPr>
                <w:rFonts w:ascii="Times New Roman" w:hAnsi="Times New Roman"/>
                <w:color w:val="1E293B"/>
                <w:sz w:val="19"/>
              </w:rPr>
              <w:t>Node.js Runtime</w:t>
            </w:r>
          </w:p>
        </w:tc>
        <w:tc>
          <w:tcPr>
            <w:tcW w:type="dxa" w:w="3168"/>
            <w:tcMar>
              <w:top w:w="120" w:type="dxa"/>
              <w:bottom w:w="120" w:type="dxa"/>
              <w:left w:w="140" w:type="dxa"/>
              <w:right w:w="140" w:type="dxa"/>
            </w:tcMar>
            <w:shd w:fill="FFFFFF"/>
          </w:tcPr>
          <w:p>
            <w:pPr>
              <w:spacing w:before="40" w:after="40"/>
            </w:pPr>
            <w:r>
              <w:rPr>
                <w:rFonts w:ascii="Times New Roman" w:hAnsi="Times New Roman"/>
                <w:color w:val="1E293B"/>
                <w:sz w:val="19"/>
              </w:rPr>
              <w:t>Node.js v18.16.0 LTS</w:t>
            </w:r>
          </w:p>
        </w:tc>
        <w:tc>
          <w:tcPr>
            <w:tcW w:type="dxa" w:w="3456"/>
            <w:tcMar>
              <w:top w:w="120" w:type="dxa"/>
              <w:bottom w:w="120" w:type="dxa"/>
              <w:left w:w="140" w:type="dxa"/>
              <w:right w:w="140" w:type="dxa"/>
            </w:tcMar>
            <w:shd w:fill="FFFFFF"/>
          </w:tcPr>
          <w:p>
            <w:pPr>
              <w:spacing w:before="40" w:after="40"/>
            </w:pPr>
            <w:r>
              <w:rPr>
                <w:rFonts w:ascii="Times New Roman" w:hAnsi="Times New Roman"/>
                <w:color w:val="1E293B"/>
                <w:sz w:val="19"/>
              </w:rPr>
              <w:t>Node.js v22.18.0 LTS</w:t>
            </w:r>
          </w:p>
        </w:tc>
      </w:tr>
      <w:tr>
        <w:trPr>
          <w:cantSplit/>
        </w:trPr>
        <w:tc>
          <w:tcPr>
            <w:tcW w:type="dxa" w:w="2592"/>
            <w:tcMar>
              <w:top w:w="120" w:type="dxa"/>
              <w:bottom w:w="120" w:type="dxa"/>
              <w:left w:w="140" w:type="dxa"/>
              <w:right w:w="140" w:type="dxa"/>
            </w:tcMar>
            <w:shd w:fill="F8FAFC"/>
          </w:tcPr>
          <w:p>
            <w:pPr>
              <w:spacing w:before="40" w:after="40"/>
            </w:pPr>
            <w:r>
              <w:rPr>
                <w:rFonts w:ascii="Times New Roman" w:hAnsi="Times New Roman"/>
                <w:color w:val="1E293B"/>
                <w:sz w:val="19"/>
              </w:rPr>
              <w:t>Package Manager</w:t>
            </w:r>
          </w:p>
        </w:tc>
        <w:tc>
          <w:tcPr>
            <w:tcW w:type="dxa" w:w="3168"/>
            <w:tcMar>
              <w:top w:w="120" w:type="dxa"/>
              <w:bottom w:w="120" w:type="dxa"/>
              <w:left w:w="140" w:type="dxa"/>
              <w:right w:w="140" w:type="dxa"/>
            </w:tcMar>
            <w:shd w:fill="F8FAFC"/>
          </w:tcPr>
          <w:p>
            <w:pPr>
              <w:spacing w:before="40" w:after="40"/>
            </w:pPr>
            <w:r>
              <w:rPr>
                <w:rFonts w:ascii="Times New Roman" w:hAnsi="Times New Roman"/>
                <w:color w:val="1E293B"/>
                <w:sz w:val="19"/>
              </w:rPr>
              <w:t>npm v9.5.0</w:t>
            </w:r>
          </w:p>
        </w:tc>
        <w:tc>
          <w:tcPr>
            <w:tcW w:type="dxa" w:w="3456"/>
            <w:tcMar>
              <w:top w:w="120" w:type="dxa"/>
              <w:bottom w:w="120" w:type="dxa"/>
              <w:left w:w="140" w:type="dxa"/>
              <w:right w:w="140" w:type="dxa"/>
            </w:tcMar>
            <w:shd w:fill="F8FAFC"/>
          </w:tcPr>
          <w:p>
            <w:pPr>
              <w:spacing w:before="40" w:after="40"/>
            </w:pPr>
            <w:r>
              <w:rPr>
                <w:rFonts w:ascii="Times New Roman" w:hAnsi="Times New Roman"/>
                <w:color w:val="1E293B"/>
                <w:sz w:val="19"/>
              </w:rPr>
              <w:t>npm v11.21.0 / pnpm v9.0</w:t>
            </w:r>
          </w:p>
        </w:tc>
      </w:tr>
      <w:tr>
        <w:trPr>
          <w:cantSplit/>
        </w:trPr>
        <w:tc>
          <w:tcPr>
            <w:tcW w:type="dxa" w:w="2592"/>
            <w:tcMar>
              <w:top w:w="120" w:type="dxa"/>
              <w:bottom w:w="120" w:type="dxa"/>
              <w:left w:w="140" w:type="dxa"/>
              <w:right w:w="140" w:type="dxa"/>
            </w:tcMar>
            <w:shd w:fill="FFFFFF"/>
          </w:tcPr>
          <w:p>
            <w:pPr>
              <w:spacing w:before="40" w:after="40"/>
            </w:pPr>
            <w:r>
              <w:rPr>
                <w:rFonts w:ascii="Times New Roman" w:hAnsi="Times New Roman"/>
                <w:color w:val="1E293B"/>
                <w:sz w:val="19"/>
              </w:rPr>
              <w:t>Web Browser</w:t>
            </w:r>
          </w:p>
        </w:tc>
        <w:tc>
          <w:tcPr>
            <w:tcW w:type="dxa" w:w="3168"/>
            <w:tcMar>
              <w:top w:w="120" w:type="dxa"/>
              <w:bottom w:w="120" w:type="dxa"/>
              <w:left w:w="140" w:type="dxa"/>
              <w:right w:w="140" w:type="dxa"/>
            </w:tcMar>
            <w:shd w:fill="FFFFFF"/>
          </w:tcPr>
          <w:p>
            <w:pPr>
              <w:spacing w:before="40" w:after="40"/>
            </w:pPr>
            <w:r>
              <w:rPr>
                <w:rFonts w:ascii="Times New Roman" w:hAnsi="Times New Roman"/>
                <w:color w:val="1E293B"/>
                <w:sz w:val="19"/>
              </w:rPr>
              <w:t>Chromium v110+, Firefox v115+</w:t>
            </w:r>
          </w:p>
        </w:tc>
        <w:tc>
          <w:tcPr>
            <w:tcW w:type="dxa" w:w="3456"/>
            <w:tcMar>
              <w:top w:w="120" w:type="dxa"/>
              <w:bottom w:w="120" w:type="dxa"/>
              <w:left w:w="140" w:type="dxa"/>
              <w:right w:w="140" w:type="dxa"/>
            </w:tcMar>
            <w:shd w:fill="FFFFFF"/>
          </w:tcPr>
          <w:p>
            <w:pPr>
              <w:spacing w:before="40" w:after="40"/>
            </w:pPr>
            <w:r>
              <w:rPr>
                <w:rFonts w:ascii="Times New Roman" w:hAnsi="Times New Roman"/>
                <w:color w:val="1E293B"/>
                <w:sz w:val="19"/>
              </w:rPr>
              <w:t>Modern Evergreen Browser with WebGL/CSS Grid</w:t>
            </w:r>
          </w:p>
        </w:tc>
      </w:tr>
      <w:tr>
        <w:trPr>
          <w:cantSplit/>
        </w:trPr>
        <w:tc>
          <w:tcPr>
            <w:tcW w:type="dxa" w:w="2592"/>
            <w:tcMar>
              <w:top w:w="120" w:type="dxa"/>
              <w:bottom w:w="120" w:type="dxa"/>
              <w:left w:w="140" w:type="dxa"/>
              <w:right w:w="140" w:type="dxa"/>
            </w:tcMar>
            <w:shd w:fill="F8FAFC"/>
          </w:tcPr>
          <w:p>
            <w:pPr>
              <w:spacing w:before="40" w:after="40"/>
            </w:pPr>
            <w:r>
              <w:rPr>
                <w:rFonts w:ascii="Times New Roman" w:hAnsi="Times New Roman"/>
                <w:color w:val="1E293B"/>
                <w:sz w:val="19"/>
              </w:rPr>
              <w:t>TypeScript Compiler</w:t>
            </w:r>
          </w:p>
        </w:tc>
        <w:tc>
          <w:tcPr>
            <w:tcW w:type="dxa" w:w="3168"/>
            <w:tcMar>
              <w:top w:w="120" w:type="dxa"/>
              <w:bottom w:w="120" w:type="dxa"/>
              <w:left w:w="140" w:type="dxa"/>
              <w:right w:w="140" w:type="dxa"/>
            </w:tcMar>
            <w:shd w:fill="F8FAFC"/>
          </w:tcPr>
          <w:p>
            <w:pPr>
              <w:spacing w:before="40" w:after="40"/>
            </w:pPr>
            <w:r>
              <w:rPr>
                <w:rFonts w:ascii="Times New Roman" w:hAnsi="Times New Roman"/>
                <w:color w:val="1E293B"/>
                <w:sz w:val="19"/>
              </w:rPr>
              <w:t>TypeScript v5.0</w:t>
            </w:r>
          </w:p>
        </w:tc>
        <w:tc>
          <w:tcPr>
            <w:tcW w:type="dxa" w:w="3456"/>
            <w:tcMar>
              <w:top w:w="120" w:type="dxa"/>
              <w:bottom w:w="120" w:type="dxa"/>
              <w:left w:w="140" w:type="dxa"/>
              <w:right w:w="140" w:type="dxa"/>
            </w:tcMar>
            <w:shd w:fill="F8FAFC"/>
          </w:tcPr>
          <w:p>
            <w:pPr>
              <w:spacing w:before="40" w:after="40"/>
            </w:pPr>
            <w:r>
              <w:rPr>
                <w:rFonts w:ascii="Times New Roman" w:hAnsi="Times New Roman"/>
                <w:color w:val="1E293B"/>
                <w:sz w:val="19"/>
              </w:rPr>
              <w:t>TypeScript v5.7.3</w:t>
            </w:r>
          </w:p>
        </w:tc>
      </w:tr>
    </w:tbl>
    <w:p>
      <w:pPr>
        <w:spacing w:line="312" w:lineRule="auto" w:after="200"/>
        <w:jc w:val="both"/>
      </w:pPr>
      <w:r>
        <w:rPr>
          <w:rFonts w:ascii="Times New Roman" w:hAnsi="Times New Roman"/>
          <w:color w:val="1E293B"/>
          <w:sz w:val="23"/>
        </w:rPr>
        <w:t>Table 3.1: Software Requirements Specifications.</w:t>
      </w:r>
    </w:p>
    <w:tbl>
      <w:tblPr>
        <w:tblW w:type="auto" w:w="0"/>
        <w:jc w:val="center"/>
        <w:tblLook w:firstColumn="1" w:firstRow="1" w:lastColumn="0" w:lastRow="0" w:noHBand="0" w:noVBand="1" w:val="04A0"/>
      </w:tblPr>
      <w:tblGrid>
        <w:gridCol w:w="3010"/>
        <w:gridCol w:w="3010"/>
        <w:gridCol w:w="3010"/>
      </w:tblGrid>
      <w:tr>
        <w:trPr>
          <w:cantSplit/>
          <w:tblHeader/>
        </w:trPr>
        <w:tc>
          <w:tcPr>
            <w:tcW w:type="dxa" w:w="2592"/>
            <w:tcMar>
              <w:top w:w="120" w:type="dxa"/>
              <w:bottom w:w="120" w:type="dxa"/>
              <w:left w:w="140" w:type="dxa"/>
              <w:right w:w="140" w:type="dxa"/>
            </w:tcMar>
            <w:shd w:fill="1E293B"/>
          </w:tcPr>
          <w:p>
            <w:pPr>
              <w:spacing w:before="40" w:after="40"/>
              <w:jc w:val="center"/>
            </w:pPr>
            <w:r>
              <w:rPr>
                <w:rFonts w:ascii="Times New Roman" w:hAnsi="Times New Roman"/>
                <w:b/>
                <w:color w:val="FFFFFF"/>
                <w:sz w:val="20"/>
              </w:rPr>
              <w:t>Hardware Resource</w:t>
            </w:r>
          </w:p>
        </w:tc>
        <w:tc>
          <w:tcPr>
            <w:tcW w:type="dxa" w:w="3168"/>
            <w:tcMar>
              <w:top w:w="120" w:type="dxa"/>
              <w:bottom w:w="120" w:type="dxa"/>
              <w:left w:w="140" w:type="dxa"/>
              <w:right w:w="140" w:type="dxa"/>
            </w:tcMar>
            <w:shd w:fill="1E293B"/>
          </w:tcPr>
          <w:p>
            <w:pPr>
              <w:spacing w:before="40" w:after="40"/>
              <w:jc w:val="center"/>
            </w:pPr>
            <w:r>
              <w:rPr>
                <w:rFonts w:ascii="Times New Roman" w:hAnsi="Times New Roman"/>
                <w:b/>
                <w:color w:val="FFFFFF"/>
                <w:sz w:val="20"/>
              </w:rPr>
              <w:t>Minimum Specification</w:t>
            </w:r>
          </w:p>
        </w:tc>
        <w:tc>
          <w:tcPr>
            <w:tcW w:type="dxa" w:w="3456"/>
            <w:tcMar>
              <w:top w:w="120" w:type="dxa"/>
              <w:bottom w:w="120" w:type="dxa"/>
              <w:left w:w="140" w:type="dxa"/>
              <w:right w:w="140" w:type="dxa"/>
            </w:tcMar>
            <w:shd w:fill="1E293B"/>
          </w:tcPr>
          <w:p>
            <w:pPr>
              <w:spacing w:before="40" w:after="40"/>
              <w:jc w:val="center"/>
            </w:pPr>
            <w:r>
              <w:rPr>
                <w:rFonts w:ascii="Times New Roman" w:hAnsi="Times New Roman"/>
                <w:b/>
                <w:color w:val="FFFFFF"/>
                <w:sz w:val="20"/>
              </w:rPr>
              <w:t>Recommended Workstation Specification</w:t>
            </w:r>
          </w:p>
        </w:tc>
      </w:tr>
      <w:tr>
        <w:trPr>
          <w:cantSplit/>
        </w:trPr>
        <w:tc>
          <w:tcPr>
            <w:tcW w:type="dxa" w:w="2592"/>
            <w:tcMar>
              <w:top w:w="120" w:type="dxa"/>
              <w:bottom w:w="120" w:type="dxa"/>
              <w:left w:w="140" w:type="dxa"/>
              <w:right w:w="140" w:type="dxa"/>
            </w:tcMar>
            <w:shd w:fill="F8FAFC"/>
          </w:tcPr>
          <w:p>
            <w:pPr>
              <w:spacing w:before="40" w:after="40"/>
            </w:pPr>
            <w:r>
              <w:rPr>
                <w:rFonts w:ascii="Times New Roman" w:hAnsi="Times New Roman"/>
                <w:color w:val="1E293B"/>
                <w:sz w:val="19"/>
              </w:rPr>
              <w:t>Processor (CPU)</w:t>
            </w:r>
          </w:p>
        </w:tc>
        <w:tc>
          <w:tcPr>
            <w:tcW w:type="dxa" w:w="3168"/>
            <w:tcMar>
              <w:top w:w="120" w:type="dxa"/>
              <w:bottom w:w="120" w:type="dxa"/>
              <w:left w:w="140" w:type="dxa"/>
              <w:right w:w="140" w:type="dxa"/>
            </w:tcMar>
            <w:shd w:fill="F8FAFC"/>
          </w:tcPr>
          <w:p>
            <w:pPr>
              <w:spacing w:before="40" w:after="40"/>
            </w:pPr>
            <w:r>
              <w:rPr>
                <w:rFonts w:ascii="Times New Roman" w:hAnsi="Times New Roman"/>
                <w:color w:val="1E293B"/>
                <w:sz w:val="19"/>
              </w:rPr>
              <w:t>Dual-Core x86-64 / ARM64, 2.0 GHz</w:t>
            </w:r>
          </w:p>
        </w:tc>
        <w:tc>
          <w:tcPr>
            <w:tcW w:type="dxa" w:w="3456"/>
            <w:tcMar>
              <w:top w:w="120" w:type="dxa"/>
              <w:bottom w:w="120" w:type="dxa"/>
              <w:left w:w="140" w:type="dxa"/>
              <w:right w:w="140" w:type="dxa"/>
            </w:tcMar>
            <w:shd w:fill="F8FAFC"/>
          </w:tcPr>
          <w:p>
            <w:pPr>
              <w:spacing w:before="40" w:after="40"/>
            </w:pPr>
            <w:r>
              <w:rPr>
                <w:rFonts w:ascii="Times New Roman" w:hAnsi="Times New Roman"/>
                <w:color w:val="1E293B"/>
                <w:sz w:val="19"/>
              </w:rPr>
              <w:t>Quad-Core Intel i5/i7 or Apple M-series, 3.2 GHz</w:t>
            </w:r>
          </w:p>
        </w:tc>
      </w:tr>
      <w:tr>
        <w:trPr>
          <w:cantSplit/>
        </w:trPr>
        <w:tc>
          <w:tcPr>
            <w:tcW w:type="dxa" w:w="2592"/>
            <w:tcMar>
              <w:top w:w="120" w:type="dxa"/>
              <w:bottom w:w="120" w:type="dxa"/>
              <w:left w:w="140" w:type="dxa"/>
              <w:right w:w="140" w:type="dxa"/>
            </w:tcMar>
            <w:shd w:fill="FFFFFF"/>
          </w:tcPr>
          <w:p>
            <w:pPr>
              <w:spacing w:before="40" w:after="40"/>
            </w:pPr>
            <w:r>
              <w:rPr>
                <w:rFonts w:ascii="Times New Roman" w:hAnsi="Times New Roman"/>
                <w:color w:val="1E293B"/>
                <w:sz w:val="19"/>
              </w:rPr>
              <w:t>System Memory (RAM)</w:t>
            </w:r>
          </w:p>
        </w:tc>
        <w:tc>
          <w:tcPr>
            <w:tcW w:type="dxa" w:w="3168"/>
            <w:tcMar>
              <w:top w:w="120" w:type="dxa"/>
              <w:bottom w:w="120" w:type="dxa"/>
              <w:left w:w="140" w:type="dxa"/>
              <w:right w:w="140" w:type="dxa"/>
            </w:tcMar>
            <w:shd w:fill="FFFFFF"/>
          </w:tcPr>
          <w:p>
            <w:pPr>
              <w:spacing w:before="40" w:after="40"/>
            </w:pPr>
            <w:r>
              <w:rPr>
                <w:rFonts w:ascii="Times New Roman" w:hAnsi="Times New Roman"/>
                <w:color w:val="1E293B"/>
                <w:sz w:val="19"/>
              </w:rPr>
              <w:t>4 GB DDR4</w:t>
            </w:r>
          </w:p>
        </w:tc>
        <w:tc>
          <w:tcPr>
            <w:tcW w:type="dxa" w:w="3456"/>
            <w:tcMar>
              <w:top w:w="120" w:type="dxa"/>
              <w:bottom w:w="120" w:type="dxa"/>
              <w:left w:w="140" w:type="dxa"/>
              <w:right w:w="140" w:type="dxa"/>
            </w:tcMar>
            <w:shd w:fill="FFFFFF"/>
          </w:tcPr>
          <w:p>
            <w:pPr>
              <w:spacing w:before="40" w:after="40"/>
            </w:pPr>
            <w:r>
              <w:rPr>
                <w:rFonts w:ascii="Times New Roman" w:hAnsi="Times New Roman"/>
                <w:color w:val="1E293B"/>
                <w:sz w:val="19"/>
              </w:rPr>
              <w:t>16 GB DDR4/DDR5</w:t>
            </w:r>
          </w:p>
        </w:tc>
      </w:tr>
      <w:tr>
        <w:trPr>
          <w:cantSplit/>
        </w:trPr>
        <w:tc>
          <w:tcPr>
            <w:tcW w:type="dxa" w:w="2592"/>
            <w:tcMar>
              <w:top w:w="120" w:type="dxa"/>
              <w:bottom w:w="120" w:type="dxa"/>
              <w:left w:w="140" w:type="dxa"/>
              <w:right w:w="140" w:type="dxa"/>
            </w:tcMar>
            <w:shd w:fill="F8FAFC"/>
          </w:tcPr>
          <w:p>
            <w:pPr>
              <w:spacing w:before="40" w:after="40"/>
            </w:pPr>
            <w:r>
              <w:rPr>
                <w:rFonts w:ascii="Times New Roman" w:hAnsi="Times New Roman"/>
                <w:color w:val="1E293B"/>
                <w:sz w:val="19"/>
              </w:rPr>
              <w:t>Storage (Disk)</w:t>
            </w:r>
          </w:p>
        </w:tc>
        <w:tc>
          <w:tcPr>
            <w:tcW w:type="dxa" w:w="3168"/>
            <w:tcMar>
              <w:top w:w="120" w:type="dxa"/>
              <w:bottom w:w="120" w:type="dxa"/>
              <w:left w:w="140" w:type="dxa"/>
              <w:right w:w="140" w:type="dxa"/>
            </w:tcMar>
            <w:shd w:fill="F8FAFC"/>
          </w:tcPr>
          <w:p>
            <w:pPr>
              <w:spacing w:before="40" w:after="40"/>
            </w:pPr>
            <w:r>
              <w:rPr>
                <w:rFonts w:ascii="Times New Roman" w:hAnsi="Times New Roman"/>
                <w:color w:val="1E293B"/>
                <w:sz w:val="19"/>
              </w:rPr>
              <w:t>500 MB free disk space</w:t>
            </w:r>
          </w:p>
        </w:tc>
        <w:tc>
          <w:tcPr>
            <w:tcW w:type="dxa" w:w="3456"/>
            <w:tcMar>
              <w:top w:w="120" w:type="dxa"/>
              <w:bottom w:w="120" w:type="dxa"/>
              <w:left w:w="140" w:type="dxa"/>
              <w:right w:w="140" w:type="dxa"/>
            </w:tcMar>
            <w:shd w:fill="F8FAFC"/>
          </w:tcPr>
          <w:p>
            <w:pPr>
              <w:spacing w:before="40" w:after="40"/>
            </w:pPr>
            <w:r>
              <w:rPr>
                <w:rFonts w:ascii="Times New Roman" w:hAnsi="Times New Roman"/>
                <w:color w:val="1E293B"/>
                <w:sz w:val="19"/>
              </w:rPr>
              <w:t>2 GB SSD high-speed storage</w:t>
            </w:r>
          </w:p>
        </w:tc>
      </w:tr>
      <w:tr>
        <w:trPr>
          <w:cantSplit/>
        </w:trPr>
        <w:tc>
          <w:tcPr>
            <w:tcW w:type="dxa" w:w="2592"/>
            <w:tcMar>
              <w:top w:w="120" w:type="dxa"/>
              <w:bottom w:w="120" w:type="dxa"/>
              <w:left w:w="140" w:type="dxa"/>
              <w:right w:w="140" w:type="dxa"/>
            </w:tcMar>
            <w:shd w:fill="FFFFFF"/>
          </w:tcPr>
          <w:p>
            <w:pPr>
              <w:spacing w:before="40" w:after="40"/>
            </w:pPr>
            <w:r>
              <w:rPr>
                <w:rFonts w:ascii="Times New Roman" w:hAnsi="Times New Roman"/>
                <w:color w:val="1E293B"/>
                <w:sz w:val="19"/>
              </w:rPr>
              <w:t>Display Resolution</w:t>
            </w:r>
          </w:p>
        </w:tc>
        <w:tc>
          <w:tcPr>
            <w:tcW w:type="dxa" w:w="3168"/>
            <w:tcMar>
              <w:top w:w="120" w:type="dxa"/>
              <w:bottom w:w="120" w:type="dxa"/>
              <w:left w:w="140" w:type="dxa"/>
              <w:right w:w="140" w:type="dxa"/>
            </w:tcMar>
            <w:shd w:fill="FFFFFF"/>
          </w:tcPr>
          <w:p>
            <w:pPr>
              <w:spacing w:before="40" w:after="40"/>
            </w:pPr>
            <w:r>
              <w:rPr>
                <w:rFonts w:ascii="Times New Roman" w:hAnsi="Times New Roman"/>
                <w:color w:val="1E293B"/>
                <w:sz w:val="19"/>
              </w:rPr>
              <w:t>1280 × 720 (HD)</w:t>
            </w:r>
          </w:p>
        </w:tc>
        <w:tc>
          <w:tcPr>
            <w:tcW w:type="dxa" w:w="3456"/>
            <w:tcMar>
              <w:top w:w="120" w:type="dxa"/>
              <w:bottom w:w="120" w:type="dxa"/>
              <w:left w:w="140" w:type="dxa"/>
              <w:right w:w="140" w:type="dxa"/>
            </w:tcMar>
            <w:shd w:fill="FFFFFF"/>
          </w:tcPr>
          <w:p>
            <w:pPr>
              <w:spacing w:before="40" w:after="40"/>
            </w:pPr>
            <w:r>
              <w:rPr>
                <w:rFonts w:ascii="Times New Roman" w:hAnsi="Times New Roman"/>
                <w:color w:val="1E293B"/>
                <w:sz w:val="19"/>
              </w:rPr>
              <w:t>1920 × 1080 (Full HD) or higher</w:t>
            </w:r>
          </w:p>
        </w:tc>
      </w:tr>
    </w:tbl>
    <w:p>
      <w:pPr>
        <w:spacing w:line="312" w:lineRule="auto" w:after="240"/>
        <w:jc w:val="both"/>
      </w:pPr>
      <w:r>
        <w:rPr>
          <w:rFonts w:ascii="Times New Roman" w:hAnsi="Times New Roman"/>
          <w:color w:val="1E293B"/>
          <w:sz w:val="23"/>
        </w:rPr>
        <w:t>Table 3.2: Hardware Requirements Specifications.</w:t>
      </w:r>
    </w:p>
    <w:p>
      <w:pPr>
        <w:pStyle w:val="Heading2"/>
        <w:keepNext/>
        <w:spacing w:before="280" w:after="120"/>
      </w:pPr>
      <w:r>
        <w:rPr>
          <w:rFonts w:ascii="Times New Roman" w:hAnsi="Times New Roman"/>
          <w:b/>
          <w:color w:val="0F172A"/>
          <w:sz w:val="27"/>
        </w:rPr>
        <w:t>3.3 System Modules and Description</w:t>
      </w:r>
    </w:p>
    <w:p>
      <w:pPr>
        <w:spacing w:line="312" w:lineRule="auto" w:after="120"/>
        <w:jc w:val="both"/>
      </w:pPr>
      <w:r>
        <w:rPr>
          <w:rFonts w:ascii="Times New Roman" w:hAnsi="Times New Roman"/>
          <w:color w:val="1E293B"/>
          <w:sz w:val="23"/>
        </w:rPr>
        <w:t>The application is partitioned into modular subsystems as detailed in Table 3.3.</w:t>
      </w:r>
    </w:p>
    <w:tbl>
      <w:tblPr>
        <w:tblW w:type="auto" w:w="0"/>
        <w:jc w:val="center"/>
        <w:tblLook w:firstColumn="1" w:firstRow="1" w:lastColumn="0" w:lastRow="0" w:noHBand="0" w:noVBand="1" w:val="04A0"/>
      </w:tblPr>
      <w:tblGrid>
        <w:gridCol w:w="2257"/>
        <w:gridCol w:w="2257"/>
        <w:gridCol w:w="2257"/>
        <w:gridCol w:w="2257"/>
      </w:tblGrid>
      <w:tr>
        <w:trPr>
          <w:cantSplit/>
          <w:tblHeader/>
        </w:trPr>
        <w:tc>
          <w:tcPr>
            <w:tcW w:type="dxa" w:w="2304"/>
            <w:tcMar>
              <w:top w:w="120" w:type="dxa"/>
              <w:bottom w:w="120" w:type="dxa"/>
              <w:left w:w="140" w:type="dxa"/>
              <w:right w:w="140" w:type="dxa"/>
            </w:tcMar>
            <w:shd w:fill="1E293B"/>
          </w:tcPr>
          <w:p>
            <w:pPr>
              <w:spacing w:before="40" w:after="40"/>
              <w:jc w:val="center"/>
            </w:pPr>
            <w:r>
              <w:rPr>
                <w:rFonts w:ascii="Times New Roman" w:hAnsi="Times New Roman"/>
                <w:b/>
                <w:color w:val="FFFFFF"/>
                <w:sz w:val="20"/>
              </w:rPr>
              <w:t>Module Name</w:t>
            </w:r>
          </w:p>
        </w:tc>
        <w:tc>
          <w:tcPr>
            <w:tcW w:type="dxa" w:w="3168"/>
            <w:tcMar>
              <w:top w:w="120" w:type="dxa"/>
              <w:bottom w:w="120" w:type="dxa"/>
              <w:left w:w="140" w:type="dxa"/>
              <w:right w:w="140" w:type="dxa"/>
            </w:tcMar>
            <w:shd w:fill="1E293B"/>
          </w:tcPr>
          <w:p>
            <w:pPr>
              <w:spacing w:before="40" w:after="40"/>
              <w:jc w:val="center"/>
            </w:pPr>
            <w:r>
              <w:rPr>
                <w:rFonts w:ascii="Times New Roman" w:hAnsi="Times New Roman"/>
                <w:b/>
                <w:color w:val="FFFFFF"/>
                <w:sz w:val="20"/>
              </w:rPr>
              <w:t>Functional Purpose</w:t>
            </w:r>
          </w:p>
        </w:tc>
        <w:tc>
          <w:tcPr>
            <w:tcW w:type="dxa" w:w="2016"/>
            <w:tcMar>
              <w:top w:w="120" w:type="dxa"/>
              <w:bottom w:w="120" w:type="dxa"/>
              <w:left w:w="140" w:type="dxa"/>
              <w:right w:w="140" w:type="dxa"/>
            </w:tcMar>
            <w:shd w:fill="1E293B"/>
          </w:tcPr>
          <w:p>
            <w:pPr>
              <w:spacing w:before="40" w:after="40"/>
              <w:jc w:val="center"/>
            </w:pPr>
            <w:r>
              <w:rPr>
                <w:rFonts w:ascii="Times New Roman" w:hAnsi="Times New Roman"/>
                <w:b/>
                <w:color w:val="FFFFFF"/>
                <w:sz w:val="20"/>
              </w:rPr>
              <w:t>Key Inputs / Outputs</w:t>
            </w:r>
          </w:p>
        </w:tc>
        <w:tc>
          <w:tcPr>
            <w:tcW w:type="dxa" w:w="1728"/>
            <w:tcMar>
              <w:top w:w="120" w:type="dxa"/>
              <w:bottom w:w="120" w:type="dxa"/>
              <w:left w:w="140" w:type="dxa"/>
              <w:right w:w="140" w:type="dxa"/>
            </w:tcMar>
            <w:shd w:fill="1E293B"/>
          </w:tcPr>
          <w:p>
            <w:pPr>
              <w:spacing w:before="40" w:after="40"/>
              <w:jc w:val="center"/>
            </w:pPr>
            <w:r>
              <w:rPr>
                <w:rFonts w:ascii="Times New Roman" w:hAnsi="Times New Roman"/>
                <w:b/>
                <w:color w:val="FFFFFF"/>
                <w:sz w:val="20"/>
              </w:rPr>
              <w:t>Implementation Status</w:t>
            </w:r>
          </w:p>
        </w:tc>
      </w:tr>
      <w:tr>
        <w:trPr>
          <w:cantSplit/>
        </w:trPr>
        <w:tc>
          <w:tcPr>
            <w:tcW w:type="dxa" w:w="2304"/>
            <w:tcMar>
              <w:top w:w="120" w:type="dxa"/>
              <w:bottom w:w="120" w:type="dxa"/>
              <w:left w:w="140" w:type="dxa"/>
              <w:right w:w="140" w:type="dxa"/>
            </w:tcMar>
            <w:shd w:fill="F8FAFC"/>
          </w:tcPr>
          <w:p>
            <w:pPr>
              <w:spacing w:before="40" w:after="40"/>
            </w:pPr>
            <w:r>
              <w:rPr>
                <w:rFonts w:ascii="Times New Roman" w:hAnsi="Times New Roman"/>
                <w:color w:val="1E293B"/>
                <w:sz w:val="19"/>
              </w:rPr>
              <w:t>Document Upload Zone</w:t>
            </w:r>
          </w:p>
        </w:tc>
        <w:tc>
          <w:tcPr>
            <w:tcW w:type="dxa" w:w="3168"/>
            <w:tcMar>
              <w:top w:w="120" w:type="dxa"/>
              <w:bottom w:w="120" w:type="dxa"/>
              <w:left w:w="140" w:type="dxa"/>
              <w:right w:w="140" w:type="dxa"/>
            </w:tcMar>
            <w:shd w:fill="F8FAFC"/>
          </w:tcPr>
          <w:p>
            <w:pPr>
              <w:spacing w:before="40" w:after="40"/>
            </w:pPr>
            <w:r>
              <w:rPr>
                <w:rFonts w:ascii="Times New Roman" w:hAnsi="Times New Roman"/>
                <w:color w:val="1E293B"/>
                <w:sz w:val="19"/>
              </w:rPr>
              <w:t>Intake and validate PDF/DOCX contracts with client drag-and-drop.</w:t>
            </w:r>
          </w:p>
        </w:tc>
        <w:tc>
          <w:tcPr>
            <w:tcW w:type="dxa" w:w="2016"/>
            <w:tcMar>
              <w:top w:w="120" w:type="dxa"/>
              <w:bottom w:w="120" w:type="dxa"/>
              <w:left w:w="140" w:type="dxa"/>
              <w:right w:w="140" w:type="dxa"/>
            </w:tcMar>
            <w:shd w:fill="F8FAFC"/>
          </w:tcPr>
          <w:p>
            <w:pPr>
              <w:spacing w:before="40" w:after="40"/>
            </w:pPr>
            <w:r>
              <w:rPr>
                <w:rFonts w:ascii="Times New Roman" w:hAnsi="Times New Roman"/>
                <w:color w:val="1E293B"/>
                <w:sz w:val="19"/>
              </w:rPr>
              <w:t>Files -&gt; Session Objects</w:t>
            </w:r>
          </w:p>
        </w:tc>
        <w:tc>
          <w:tcPr>
            <w:tcW w:type="dxa" w:w="1728"/>
            <w:tcMar>
              <w:top w:w="120" w:type="dxa"/>
              <w:bottom w:w="120" w:type="dxa"/>
              <w:left w:w="140" w:type="dxa"/>
              <w:right w:w="140" w:type="dxa"/>
            </w:tcMar>
            <w:shd w:fill="F8FAFC"/>
          </w:tcPr>
          <w:p>
            <w:pPr>
              <w:spacing w:before="40" w:after="40"/>
            </w:pPr>
            <w:r>
              <w:rPr>
                <w:rFonts w:ascii="Times New Roman" w:hAnsi="Times New Roman"/>
                <w:color w:val="1E293B"/>
                <w:sz w:val="19"/>
              </w:rPr>
              <w:t>Implemented (Demo)</w:t>
            </w:r>
          </w:p>
        </w:tc>
      </w:tr>
      <w:tr>
        <w:trPr>
          <w:cantSplit/>
        </w:trPr>
        <w:tc>
          <w:tcPr>
            <w:tcW w:type="dxa" w:w="2304"/>
            <w:tcMar>
              <w:top w:w="120" w:type="dxa"/>
              <w:bottom w:w="120" w:type="dxa"/>
              <w:left w:w="140" w:type="dxa"/>
              <w:right w:w="140" w:type="dxa"/>
            </w:tcMar>
            <w:shd w:fill="FFFFFF"/>
          </w:tcPr>
          <w:p>
            <w:pPr>
              <w:spacing w:before="40" w:after="40"/>
            </w:pPr>
            <w:r>
              <w:rPr>
                <w:rFonts w:ascii="Times New Roman" w:hAnsi="Times New Roman"/>
                <w:color w:val="1E293B"/>
                <w:sz w:val="19"/>
              </w:rPr>
              <w:t>Corpus Viewer</w:t>
            </w:r>
          </w:p>
        </w:tc>
        <w:tc>
          <w:tcPr>
            <w:tcW w:type="dxa" w:w="3168"/>
            <w:tcMar>
              <w:top w:w="120" w:type="dxa"/>
              <w:bottom w:w="120" w:type="dxa"/>
              <w:left w:w="140" w:type="dxa"/>
              <w:right w:w="140" w:type="dxa"/>
            </w:tcMar>
            <w:shd w:fill="FFFFFF"/>
          </w:tcPr>
          <w:p>
            <w:pPr>
              <w:spacing w:before="40" w:after="40"/>
            </w:pPr>
            <w:r>
              <w:rPr>
                <w:rFonts w:ascii="Times New Roman" w:hAnsi="Times New Roman"/>
                <w:color w:val="1E293B"/>
                <w:sz w:val="19"/>
              </w:rPr>
              <w:t>Render broker quote, master policy, and endorsement cards.</w:t>
            </w:r>
          </w:p>
        </w:tc>
        <w:tc>
          <w:tcPr>
            <w:tcW w:type="dxa" w:w="2016"/>
            <w:tcMar>
              <w:top w:w="120" w:type="dxa"/>
              <w:bottom w:w="120" w:type="dxa"/>
              <w:left w:w="140" w:type="dxa"/>
              <w:right w:w="140" w:type="dxa"/>
            </w:tcMar>
            <w:shd w:fill="FFFFFF"/>
          </w:tcPr>
          <w:p>
            <w:pPr>
              <w:spacing w:before="40" w:after="40"/>
            </w:pPr>
            <w:r>
              <w:rPr>
                <w:rFonts w:ascii="Times New Roman" w:hAnsi="Times New Roman"/>
                <w:color w:val="1E293B"/>
                <w:sz w:val="19"/>
              </w:rPr>
              <w:t>Doc ASTs -&gt; UI Cards</w:t>
            </w:r>
          </w:p>
        </w:tc>
        <w:tc>
          <w:tcPr>
            <w:tcW w:type="dxa" w:w="1728"/>
            <w:tcMar>
              <w:top w:w="120" w:type="dxa"/>
              <w:bottom w:w="120" w:type="dxa"/>
              <w:left w:w="140" w:type="dxa"/>
              <w:right w:w="140" w:type="dxa"/>
            </w:tcMar>
            <w:shd w:fill="FFFFFF"/>
          </w:tcPr>
          <w:p>
            <w:pPr>
              <w:spacing w:before="40" w:after="40"/>
            </w:pPr>
            <w:r>
              <w:rPr>
                <w:rFonts w:ascii="Times New Roman" w:hAnsi="Times New Roman"/>
                <w:color w:val="1E293B"/>
                <w:sz w:val="19"/>
              </w:rPr>
              <w:t>Implemented</w:t>
            </w:r>
          </w:p>
        </w:tc>
      </w:tr>
      <w:tr>
        <w:trPr>
          <w:cantSplit/>
        </w:trPr>
        <w:tc>
          <w:tcPr>
            <w:tcW w:type="dxa" w:w="2304"/>
            <w:tcMar>
              <w:top w:w="120" w:type="dxa"/>
              <w:bottom w:w="120" w:type="dxa"/>
              <w:left w:w="140" w:type="dxa"/>
              <w:right w:w="140" w:type="dxa"/>
            </w:tcMar>
            <w:shd w:fill="F8FAFC"/>
          </w:tcPr>
          <w:p>
            <w:pPr>
              <w:spacing w:before="40" w:after="40"/>
            </w:pPr>
            <w:r>
              <w:rPr>
                <w:rFonts w:ascii="Times New Roman" w:hAnsi="Times New Roman"/>
                <w:color w:val="1E293B"/>
                <w:sz w:val="19"/>
              </w:rPr>
              <w:t>Side-by-Side Diff</w:t>
            </w:r>
          </w:p>
        </w:tc>
        <w:tc>
          <w:tcPr>
            <w:tcW w:type="dxa" w:w="3168"/>
            <w:tcMar>
              <w:top w:w="120" w:type="dxa"/>
              <w:bottom w:w="120" w:type="dxa"/>
              <w:left w:w="140" w:type="dxa"/>
              <w:right w:w="140" w:type="dxa"/>
            </w:tcMar>
            <w:shd w:fill="F8FAFC"/>
          </w:tcPr>
          <w:p>
            <w:pPr>
              <w:spacing w:before="40" w:after="40"/>
            </w:pPr>
            <w:r>
              <w:rPr>
                <w:rFonts w:ascii="Times New Roman" w:hAnsi="Times New Roman"/>
                <w:color w:val="1E293B"/>
                <w:sz w:val="19"/>
              </w:rPr>
              <w:t>Display quote vs endorsement wording with word-level highlights.</w:t>
            </w:r>
          </w:p>
        </w:tc>
        <w:tc>
          <w:tcPr>
            <w:tcW w:type="dxa" w:w="2016"/>
            <w:tcMar>
              <w:top w:w="120" w:type="dxa"/>
              <w:bottom w:w="120" w:type="dxa"/>
              <w:left w:w="140" w:type="dxa"/>
              <w:right w:w="140" w:type="dxa"/>
            </w:tcMar>
            <w:shd w:fill="F8FAFC"/>
          </w:tcPr>
          <w:p>
            <w:pPr>
              <w:spacing w:before="40" w:after="40"/>
            </w:pPr>
            <w:r>
              <w:rPr>
                <w:rFonts w:ascii="Times New Roman" w:hAnsi="Times New Roman"/>
                <w:color w:val="1E293B"/>
                <w:sz w:val="19"/>
              </w:rPr>
              <w:t>Finding -&gt; Dual Panes</w:t>
            </w:r>
          </w:p>
        </w:tc>
        <w:tc>
          <w:tcPr>
            <w:tcW w:type="dxa" w:w="1728"/>
            <w:tcMar>
              <w:top w:w="120" w:type="dxa"/>
              <w:bottom w:w="120" w:type="dxa"/>
              <w:left w:w="140" w:type="dxa"/>
              <w:right w:w="140" w:type="dxa"/>
            </w:tcMar>
            <w:shd w:fill="F8FAFC"/>
          </w:tcPr>
          <w:p>
            <w:pPr>
              <w:spacing w:before="40" w:after="40"/>
            </w:pPr>
            <w:r>
              <w:rPr>
                <w:rFonts w:ascii="Times New Roman" w:hAnsi="Times New Roman"/>
                <w:color w:val="1E293B"/>
                <w:sz w:val="19"/>
              </w:rPr>
              <w:t>Implemented</w:t>
            </w:r>
          </w:p>
        </w:tc>
      </w:tr>
      <w:tr>
        <w:trPr>
          <w:cantSplit/>
        </w:trPr>
        <w:tc>
          <w:tcPr>
            <w:tcW w:type="dxa" w:w="2304"/>
            <w:tcMar>
              <w:top w:w="120" w:type="dxa"/>
              <w:bottom w:w="120" w:type="dxa"/>
              <w:left w:w="140" w:type="dxa"/>
              <w:right w:w="140" w:type="dxa"/>
            </w:tcMar>
            <w:shd w:fill="FFFFFF"/>
          </w:tcPr>
          <w:p>
            <w:pPr>
              <w:spacing w:before="40" w:after="40"/>
            </w:pPr>
            <w:r>
              <w:rPr>
                <w:rFonts w:ascii="Times New Roman" w:hAnsi="Times New Roman"/>
                <w:color w:val="1E293B"/>
                <w:sz w:val="19"/>
              </w:rPr>
              <w:t>Evidence Inspector</w:t>
            </w:r>
          </w:p>
        </w:tc>
        <w:tc>
          <w:tcPr>
            <w:tcW w:type="dxa" w:w="3168"/>
            <w:tcMar>
              <w:top w:w="120" w:type="dxa"/>
              <w:bottom w:w="120" w:type="dxa"/>
              <w:left w:w="140" w:type="dxa"/>
              <w:right w:w="140" w:type="dxa"/>
            </w:tcMar>
            <w:shd w:fill="FFFFFF"/>
          </w:tcPr>
          <w:p>
            <w:pPr>
              <w:spacing w:before="40" w:after="40"/>
            </w:pPr>
            <w:r>
              <w:rPr>
                <w:rFonts w:ascii="Times New Roman" w:hAnsi="Times New Roman"/>
                <w:color w:val="1E293B"/>
                <w:sz w:val="19"/>
              </w:rPr>
              <w:t>Anchor findings to exact page/paragraph coordinates and hashes.</w:t>
            </w:r>
          </w:p>
        </w:tc>
        <w:tc>
          <w:tcPr>
            <w:tcW w:type="dxa" w:w="2016"/>
            <w:tcMar>
              <w:top w:w="120" w:type="dxa"/>
              <w:bottom w:w="120" w:type="dxa"/>
              <w:left w:w="140" w:type="dxa"/>
              <w:right w:w="140" w:type="dxa"/>
            </w:tcMar>
            <w:shd w:fill="FFFFFF"/>
          </w:tcPr>
          <w:p>
            <w:pPr>
              <w:spacing w:before="40" w:after="40"/>
            </w:pPr>
            <w:r>
              <w:rPr>
                <w:rFonts w:ascii="Times New Roman" w:hAnsi="Times New Roman"/>
                <w:color w:val="1E293B"/>
                <w:sz w:val="19"/>
              </w:rPr>
              <w:t>Finding -&gt; Provenance</w:t>
            </w:r>
          </w:p>
        </w:tc>
        <w:tc>
          <w:tcPr>
            <w:tcW w:type="dxa" w:w="1728"/>
            <w:tcMar>
              <w:top w:w="120" w:type="dxa"/>
              <w:bottom w:w="120" w:type="dxa"/>
              <w:left w:w="140" w:type="dxa"/>
              <w:right w:w="140" w:type="dxa"/>
            </w:tcMar>
            <w:shd w:fill="FFFFFF"/>
          </w:tcPr>
          <w:p>
            <w:pPr>
              <w:spacing w:before="40" w:after="40"/>
            </w:pPr>
            <w:r>
              <w:rPr>
                <w:rFonts w:ascii="Times New Roman" w:hAnsi="Times New Roman"/>
                <w:color w:val="1E293B"/>
                <w:sz w:val="19"/>
              </w:rPr>
              <w:t>Implemented</w:t>
            </w:r>
          </w:p>
        </w:tc>
      </w:tr>
      <w:tr>
        <w:trPr>
          <w:cantSplit/>
        </w:trPr>
        <w:tc>
          <w:tcPr>
            <w:tcW w:type="dxa" w:w="2304"/>
            <w:tcMar>
              <w:top w:w="120" w:type="dxa"/>
              <w:bottom w:w="120" w:type="dxa"/>
              <w:left w:w="140" w:type="dxa"/>
              <w:right w:w="140" w:type="dxa"/>
            </w:tcMar>
            <w:shd w:fill="F8FAFC"/>
          </w:tcPr>
          <w:p>
            <w:pPr>
              <w:spacing w:before="40" w:after="40"/>
            </w:pPr>
            <w:r>
              <w:rPr>
                <w:rFonts w:ascii="Times New Roman" w:hAnsi="Times New Roman"/>
                <w:color w:val="1E293B"/>
                <w:sz w:val="19"/>
              </w:rPr>
              <w:t>Bounded Agent</w:t>
            </w:r>
          </w:p>
        </w:tc>
        <w:tc>
          <w:tcPr>
            <w:tcW w:type="dxa" w:w="3168"/>
            <w:tcMar>
              <w:top w:w="120" w:type="dxa"/>
              <w:bottom w:w="120" w:type="dxa"/>
              <w:left w:w="140" w:type="dxa"/>
              <w:right w:w="140" w:type="dxa"/>
            </w:tcMar>
            <w:shd w:fill="F8FAFC"/>
          </w:tcPr>
          <w:p>
            <w:pPr>
              <w:spacing w:before="40" w:after="40"/>
            </w:pPr>
            <w:r>
              <w:rPr>
                <w:rFonts w:ascii="Times New Roman" w:hAnsi="Times New Roman"/>
                <w:color w:val="1E293B"/>
                <w:sz w:val="19"/>
              </w:rPr>
              <w:t>Autonomous chronological and precedence verification.</w:t>
            </w:r>
          </w:p>
        </w:tc>
        <w:tc>
          <w:tcPr>
            <w:tcW w:type="dxa" w:w="2016"/>
            <w:tcMar>
              <w:top w:w="120" w:type="dxa"/>
              <w:bottom w:w="120" w:type="dxa"/>
              <w:left w:w="140" w:type="dxa"/>
              <w:right w:w="140" w:type="dxa"/>
            </w:tcMar>
            <w:shd w:fill="F8FAFC"/>
          </w:tcPr>
          <w:p>
            <w:pPr>
              <w:spacing w:before="40" w:after="40"/>
            </w:pPr>
            <w:r>
              <w:rPr>
                <w:rFonts w:ascii="Times New Roman" w:hAnsi="Times New Roman"/>
                <w:color w:val="1E293B"/>
                <w:sz w:val="19"/>
              </w:rPr>
              <w:t>Date Disparity -&gt; Dossier</w:t>
            </w:r>
          </w:p>
        </w:tc>
        <w:tc>
          <w:tcPr>
            <w:tcW w:type="dxa" w:w="1728"/>
            <w:tcMar>
              <w:top w:w="120" w:type="dxa"/>
              <w:bottom w:w="120" w:type="dxa"/>
              <w:left w:w="140" w:type="dxa"/>
              <w:right w:w="140" w:type="dxa"/>
            </w:tcMar>
            <w:shd w:fill="F8FAFC"/>
          </w:tcPr>
          <w:p>
            <w:pPr>
              <w:spacing w:before="40" w:after="40"/>
            </w:pPr>
            <w:r>
              <w:rPr>
                <w:rFonts w:ascii="Times New Roman" w:hAnsi="Times New Roman"/>
                <w:color w:val="1E293B"/>
                <w:sz w:val="19"/>
              </w:rPr>
              <w:t>Implemented</w:t>
            </w:r>
          </w:p>
        </w:tc>
      </w:tr>
      <w:tr>
        <w:trPr>
          <w:cantSplit/>
        </w:trPr>
        <w:tc>
          <w:tcPr>
            <w:tcW w:type="dxa" w:w="2304"/>
            <w:tcMar>
              <w:top w:w="120" w:type="dxa"/>
              <w:bottom w:w="120" w:type="dxa"/>
              <w:left w:w="140" w:type="dxa"/>
              <w:right w:w="140" w:type="dxa"/>
            </w:tcMar>
            <w:shd w:fill="FFFFFF"/>
          </w:tcPr>
          <w:p>
            <w:pPr>
              <w:spacing w:before="40" w:after="40"/>
            </w:pPr>
            <w:r>
              <w:rPr>
                <w:rFonts w:ascii="Times New Roman" w:hAnsi="Times New Roman"/>
                <w:color w:val="1E293B"/>
                <w:sz w:val="19"/>
              </w:rPr>
              <w:t>Simulation Runner</w:t>
            </w:r>
          </w:p>
        </w:tc>
        <w:tc>
          <w:tcPr>
            <w:tcW w:type="dxa" w:w="3168"/>
            <w:tcMar>
              <w:top w:w="120" w:type="dxa"/>
              <w:bottom w:w="120" w:type="dxa"/>
              <w:left w:w="140" w:type="dxa"/>
              <w:right w:w="140" w:type="dxa"/>
            </w:tcMar>
            <w:shd w:fill="FFFFFF"/>
          </w:tcPr>
          <w:p>
            <w:pPr>
              <w:spacing w:before="40" w:after="40"/>
            </w:pPr>
            <w:r>
              <w:rPr>
                <w:rFonts w:ascii="Times New Roman" w:hAnsi="Times New Roman"/>
                <w:color w:val="1E293B"/>
                <w:sz w:val="19"/>
              </w:rPr>
              <w:t>Interactive 8-step pipeline execution stepper with live logs.</w:t>
            </w:r>
          </w:p>
        </w:tc>
        <w:tc>
          <w:tcPr>
            <w:tcW w:type="dxa" w:w="2016"/>
            <w:tcMar>
              <w:top w:w="120" w:type="dxa"/>
              <w:bottom w:w="120" w:type="dxa"/>
              <w:left w:w="140" w:type="dxa"/>
              <w:right w:w="140" w:type="dxa"/>
            </w:tcMar>
            <w:shd w:fill="FFFFFF"/>
          </w:tcPr>
          <w:p>
            <w:pPr>
              <w:spacing w:before="40" w:after="40"/>
            </w:pPr>
            <w:r>
              <w:rPr>
                <w:rFonts w:ascii="Times New Roman" w:hAnsi="Times New Roman"/>
                <w:color w:val="1E293B"/>
                <w:sz w:val="19"/>
              </w:rPr>
              <w:t>Trigger -&gt; Stream Logs</w:t>
            </w:r>
          </w:p>
        </w:tc>
        <w:tc>
          <w:tcPr>
            <w:tcW w:type="dxa" w:w="1728"/>
            <w:tcMar>
              <w:top w:w="120" w:type="dxa"/>
              <w:bottom w:w="120" w:type="dxa"/>
              <w:left w:w="140" w:type="dxa"/>
              <w:right w:w="140" w:type="dxa"/>
            </w:tcMar>
            <w:shd w:fill="FFFFFF"/>
          </w:tcPr>
          <w:p>
            <w:pPr>
              <w:spacing w:before="40" w:after="40"/>
            </w:pPr>
            <w:r>
              <w:rPr>
                <w:rFonts w:ascii="Times New Roman" w:hAnsi="Times New Roman"/>
                <w:color w:val="1E293B"/>
                <w:sz w:val="19"/>
              </w:rPr>
              <w:t>Implemented</w:t>
            </w:r>
          </w:p>
        </w:tc>
      </w:tr>
      <w:tr>
        <w:trPr>
          <w:cantSplit/>
        </w:trPr>
        <w:tc>
          <w:tcPr>
            <w:tcW w:type="dxa" w:w="2304"/>
            <w:tcMar>
              <w:top w:w="120" w:type="dxa"/>
              <w:bottom w:w="120" w:type="dxa"/>
              <w:left w:w="140" w:type="dxa"/>
              <w:right w:w="140" w:type="dxa"/>
            </w:tcMar>
            <w:shd w:fill="F8FAFC"/>
          </w:tcPr>
          <w:p>
            <w:pPr>
              <w:spacing w:before="40" w:after="40"/>
            </w:pPr>
            <w:r>
              <w:rPr>
                <w:rFonts w:ascii="Times New Roman" w:hAnsi="Times New Roman"/>
                <w:color w:val="1E293B"/>
                <w:sz w:val="19"/>
              </w:rPr>
              <w:t>Review Console</w:t>
            </w:r>
          </w:p>
        </w:tc>
        <w:tc>
          <w:tcPr>
            <w:tcW w:type="dxa" w:w="3168"/>
            <w:tcMar>
              <w:top w:w="120" w:type="dxa"/>
              <w:bottom w:w="120" w:type="dxa"/>
              <w:left w:w="140" w:type="dxa"/>
              <w:right w:w="140" w:type="dxa"/>
            </w:tcMar>
            <w:shd w:fill="F8FAFC"/>
          </w:tcPr>
          <w:p>
            <w:pPr>
              <w:spacing w:before="40" w:after="40"/>
            </w:pPr>
            <w:r>
              <w:rPr>
                <w:rFonts w:ascii="Times New Roman" w:hAnsi="Times New Roman"/>
                <w:color w:val="1E293B"/>
                <w:sz w:val="19"/>
              </w:rPr>
              <w:t>Triage desk with Confirm, Dismiss, Investigate, Resolve actions.</w:t>
            </w:r>
          </w:p>
        </w:tc>
        <w:tc>
          <w:tcPr>
            <w:tcW w:type="dxa" w:w="2016"/>
            <w:tcMar>
              <w:top w:w="120" w:type="dxa"/>
              <w:bottom w:w="120" w:type="dxa"/>
              <w:left w:w="140" w:type="dxa"/>
              <w:right w:w="140" w:type="dxa"/>
            </w:tcMar>
            <w:shd w:fill="F8FAFC"/>
          </w:tcPr>
          <w:p>
            <w:pPr>
              <w:spacing w:before="40" w:after="40"/>
            </w:pPr>
            <w:r>
              <w:rPr>
                <w:rFonts w:ascii="Times New Roman" w:hAnsi="Times New Roman"/>
                <w:color w:val="1E293B"/>
                <w:sz w:val="19"/>
              </w:rPr>
              <w:t>User Action -&gt; Audit Ledger</w:t>
            </w:r>
          </w:p>
        </w:tc>
        <w:tc>
          <w:tcPr>
            <w:tcW w:type="dxa" w:w="1728"/>
            <w:tcMar>
              <w:top w:w="120" w:type="dxa"/>
              <w:bottom w:w="120" w:type="dxa"/>
              <w:left w:w="140" w:type="dxa"/>
              <w:right w:w="140" w:type="dxa"/>
            </w:tcMar>
            <w:shd w:fill="F8FAFC"/>
          </w:tcPr>
          <w:p>
            <w:pPr>
              <w:spacing w:before="40" w:after="40"/>
            </w:pPr>
            <w:r>
              <w:rPr>
                <w:rFonts w:ascii="Times New Roman" w:hAnsi="Times New Roman"/>
                <w:color w:val="1E293B"/>
                <w:sz w:val="19"/>
              </w:rPr>
              <w:t>Implemented (Persistent)</w:t>
            </w:r>
          </w:p>
        </w:tc>
      </w:tr>
    </w:tbl>
    <w:p>
      <w:pPr>
        <w:spacing w:line="312" w:lineRule="auto" w:after="240"/>
        <w:jc w:val="both"/>
      </w:pPr>
      <w:r>
        <w:rPr>
          <w:rFonts w:ascii="Times New Roman" w:hAnsi="Times New Roman"/>
          <w:color w:val="1E293B"/>
          <w:sz w:val="23"/>
        </w:rPr>
        <w:t>Table 3.3: System Modules Functional Specification &amp; Status.</w:t>
      </w:r>
    </w:p>
    <w:p>
      <w:pPr>
        <w:pStyle w:val="Heading2"/>
        <w:keepNext/>
        <w:spacing w:before="280" w:after="120"/>
      </w:pPr>
      <w:r>
        <w:rPr>
          <w:rFonts w:ascii="Times New Roman" w:hAnsi="Times New Roman"/>
          <w:b/>
          <w:color w:val="0F172A"/>
          <w:sz w:val="27"/>
        </w:rPr>
        <w:t>3.4 Data Flow Diagrams (DFD)</w:t>
      </w:r>
    </w:p>
    <w:p>
      <w:pPr>
        <w:spacing w:line="312" w:lineRule="auto" w:after="120"/>
        <w:jc w:val="both"/>
      </w:pPr>
      <w:r>
        <w:rPr>
          <w:rFonts w:ascii="Times New Roman" w:hAnsi="Times New Roman"/>
          <w:color w:val="1E293B"/>
          <w:sz w:val="23"/>
        </w:rPr>
        <w:t>The flow of data through Coverage Truth Layer is modeled at two levels of abstraction. Figure 3.2 depicts the Context Level 0 DFD, showing boundary interactions with external entities.</w:t>
      </w:r>
    </w:p>
    <w:p>
      <w:pPr>
        <w:spacing w:before="200" w:after="80"/>
        <w:jc w:val="center"/>
      </w:pPr>
      <w:r>
        <w:drawing>
          <wp:inline xmlns:a="http://schemas.openxmlformats.org/drawingml/2006/main" xmlns:pic="http://schemas.openxmlformats.org/drawingml/2006/picture">
            <wp:extent cx="5029200" cy="2514600"/>
            <wp:docPr id="2" name="Picture 2"/>
            <wp:cNvGraphicFramePr>
              <a:graphicFrameLocks noChangeAspect="1"/>
            </wp:cNvGraphicFramePr>
            <a:graphic>
              <a:graphicData uri="http://schemas.openxmlformats.org/drawingml/2006/picture">
                <pic:pic>
                  <pic:nvPicPr>
                    <pic:cNvPr id="0" name="fig3_2_dfd_level0.png"/>
                    <pic:cNvPicPr/>
                  </pic:nvPicPr>
                  <pic:blipFill>
                    <a:blip r:embed="rId10"/>
                    <a:stretch>
                      <a:fillRect/>
                    </a:stretch>
                  </pic:blipFill>
                  <pic:spPr>
                    <a:xfrm>
                      <a:off x="0" y="0"/>
                      <a:ext cx="5029200" cy="2514600"/>
                    </a:xfrm>
                    <a:prstGeom prst="rect"/>
                  </pic:spPr>
                </pic:pic>
              </a:graphicData>
            </a:graphic>
          </wp:inline>
        </w:drawing>
      </w:r>
    </w:p>
    <w:p>
      <w:pPr>
        <w:spacing w:after="240"/>
        <w:jc w:val="center"/>
      </w:pPr>
      <w:r>
        <w:rPr>
          <w:rFonts w:ascii="Times New Roman" w:hAnsi="Times New Roman"/>
          <w:b/>
          <w:i/>
          <w:color w:val="475569"/>
          <w:sz w:val="20"/>
        </w:rPr>
        <w:t>Figure 3.2: Context Level 0 Data Flow Diagram.</w:t>
      </w:r>
    </w:p>
    <w:p>
      <w:pPr>
        <w:spacing w:line="312" w:lineRule="auto" w:after="120"/>
        <w:jc w:val="both"/>
      </w:pPr>
      <w:r>
        <w:rPr>
          <w:rFonts w:ascii="Times New Roman" w:hAnsi="Times New Roman"/>
          <w:color w:val="1E293B"/>
          <w:sz w:val="23"/>
        </w:rPr>
        <w:t>Figure 3.3 presents the Level 1 DFD decomposition, illustrating internal functional transformations across data stores D1 (Document Corpus ASTs) and D2 (Audit Ledger).</w:t>
      </w:r>
    </w:p>
    <w:p>
      <w:pPr>
        <w:spacing w:before="200" w:after="80"/>
        <w:jc w:val="center"/>
      </w:pPr>
      <w:r>
        <w:drawing>
          <wp:inline xmlns:a="http://schemas.openxmlformats.org/drawingml/2006/main" xmlns:pic="http://schemas.openxmlformats.org/drawingml/2006/picture">
            <wp:extent cx="5303520" cy="3374967"/>
            <wp:docPr id="3" name="Picture 3"/>
            <wp:cNvGraphicFramePr>
              <a:graphicFrameLocks noChangeAspect="1"/>
            </wp:cNvGraphicFramePr>
            <a:graphic>
              <a:graphicData uri="http://schemas.openxmlformats.org/drawingml/2006/picture">
                <pic:pic>
                  <pic:nvPicPr>
                    <pic:cNvPr id="0" name="fig3_3_dfd_level1.png"/>
                    <pic:cNvPicPr/>
                  </pic:nvPicPr>
                  <pic:blipFill>
                    <a:blip r:embed="rId11"/>
                    <a:stretch>
                      <a:fillRect/>
                    </a:stretch>
                  </pic:blipFill>
                  <pic:spPr>
                    <a:xfrm>
                      <a:off x="0" y="0"/>
                      <a:ext cx="5303520" cy="3374967"/>
                    </a:xfrm>
                    <a:prstGeom prst="rect"/>
                  </pic:spPr>
                </pic:pic>
              </a:graphicData>
            </a:graphic>
          </wp:inline>
        </w:drawing>
      </w:r>
    </w:p>
    <w:p>
      <w:pPr>
        <w:spacing w:after="240"/>
        <w:jc w:val="center"/>
      </w:pPr>
      <w:r>
        <w:rPr>
          <w:rFonts w:ascii="Times New Roman" w:hAnsi="Times New Roman"/>
          <w:b/>
          <w:i/>
          <w:color w:val="475569"/>
          <w:sz w:val="20"/>
        </w:rPr>
        <w:t>Figure 3.3: Level 1 Data Flow Diagram (Functional Decomposition).</w:t>
      </w:r>
    </w:p>
    <w:p>
      <w:pPr>
        <w:pStyle w:val="Heading2"/>
        <w:keepNext/>
        <w:spacing w:before="280" w:after="120"/>
      </w:pPr>
      <w:r>
        <w:rPr>
          <w:rFonts w:ascii="Times New Roman" w:hAnsi="Times New Roman"/>
          <w:b/>
          <w:color w:val="0F172A"/>
          <w:sz w:val="27"/>
        </w:rPr>
        <w:t>3.5 UML Diagrams</w:t>
      </w:r>
    </w:p>
    <w:p>
      <w:pPr>
        <w:spacing w:line="312" w:lineRule="auto" w:after="120"/>
        <w:jc w:val="both"/>
      </w:pPr>
      <w:r>
        <w:rPr>
          <w:rFonts w:ascii="Times New Roman" w:hAnsi="Times New Roman"/>
          <w:color w:val="1E293B"/>
          <w:sz w:val="23"/>
        </w:rPr>
        <w:t>Figure 3.4 illustrates the UML Use Case Diagram, depicting interactions between the Underwriter / Risk Reviewer actor, the Autonomous Investigation Agent, and core system capabilities.</w:t>
      </w:r>
    </w:p>
    <w:p>
      <w:pPr>
        <w:spacing w:before="200" w:after="80"/>
        <w:jc w:val="center"/>
      </w:pPr>
      <w:r>
        <w:drawing>
          <wp:inline xmlns:a="http://schemas.openxmlformats.org/drawingml/2006/main" xmlns:pic="http://schemas.openxmlformats.org/drawingml/2006/picture">
            <wp:extent cx="5303520" cy="3182112"/>
            <wp:docPr id="4" name="Picture 4"/>
            <wp:cNvGraphicFramePr>
              <a:graphicFrameLocks noChangeAspect="1"/>
            </wp:cNvGraphicFramePr>
            <a:graphic>
              <a:graphicData uri="http://schemas.openxmlformats.org/drawingml/2006/picture">
                <pic:pic>
                  <pic:nvPicPr>
                    <pic:cNvPr id="0" name="fig3_4_uml_use_case.png"/>
                    <pic:cNvPicPr/>
                  </pic:nvPicPr>
                  <pic:blipFill>
                    <a:blip r:embed="rId12"/>
                    <a:stretch>
                      <a:fillRect/>
                    </a:stretch>
                  </pic:blipFill>
                  <pic:spPr>
                    <a:xfrm>
                      <a:off x="0" y="0"/>
                      <a:ext cx="5303520" cy="3182112"/>
                    </a:xfrm>
                    <a:prstGeom prst="rect"/>
                  </pic:spPr>
                </pic:pic>
              </a:graphicData>
            </a:graphic>
          </wp:inline>
        </w:drawing>
      </w:r>
    </w:p>
    <w:p>
      <w:pPr>
        <w:spacing w:after="240"/>
        <w:jc w:val="center"/>
      </w:pPr>
      <w:r>
        <w:rPr>
          <w:rFonts w:ascii="Times New Roman" w:hAnsi="Times New Roman"/>
          <w:b/>
          <w:i/>
          <w:color w:val="475569"/>
          <w:sz w:val="20"/>
        </w:rPr>
        <w:t>Figure 3.4: UML Use Case Diagram for Coverage Truth Layer System.</w:t>
      </w:r>
    </w:p>
    <w:p>
      <w:r>
        <w:br w:type="page"/>
      </w:r>
    </w:p>
    <w:p>
      <w:pPr>
        <w:pStyle w:val="Heading1"/>
        <w:keepNext/>
        <w:spacing w:before="280" w:after="120"/>
      </w:pPr>
      <w:r>
        <w:rPr>
          <w:rFonts w:ascii="Times New Roman" w:hAnsi="Times New Roman"/>
          <w:b/>
          <w:color w:val="0F172A"/>
          <w:sz w:val="32"/>
        </w:rPr>
        <w:t>CHAPTER 4: IMPLEMENTATION OF THE PROPOSED SYSTEM</w:t>
      </w:r>
    </w:p>
    <w:p>
      <w:pPr>
        <w:pStyle w:val="Heading2"/>
        <w:keepNext/>
        <w:spacing w:before="280" w:after="120"/>
      </w:pPr>
      <w:r>
        <w:rPr>
          <w:rFonts w:ascii="Times New Roman" w:hAnsi="Times New Roman"/>
          <w:b/>
          <w:color w:val="0F172A"/>
          <w:sz w:val="27"/>
        </w:rPr>
        <w:t>4.1 Algorithm and Methodology Used</w:t>
      </w:r>
    </w:p>
    <w:p>
      <w:pPr>
        <w:spacing w:line="312" w:lineRule="auto" w:after="120"/>
        <w:jc w:val="both"/>
      </w:pPr>
      <w:r>
        <w:rPr>
          <w:rFonts w:ascii="Times New Roman" w:hAnsi="Times New Roman"/>
          <w:color w:val="1E293B"/>
          <w:sz w:val="23"/>
        </w:rPr>
        <w:t>The reconciliation methodology combines deterministic mathematical algorithms with semantic reasoning and bounded agent escalation. Figure 4.1 illustrates the end-to-end execution flowchart.</w:t>
      </w:r>
    </w:p>
    <w:p>
      <w:pPr>
        <w:spacing w:before="200" w:after="80"/>
        <w:jc w:val="center"/>
      </w:pPr>
      <w:r>
        <w:drawing>
          <wp:inline xmlns:a="http://schemas.openxmlformats.org/drawingml/2006/main" xmlns:pic="http://schemas.openxmlformats.org/drawingml/2006/picture">
            <wp:extent cx="5303520" cy="4242816"/>
            <wp:docPr id="5" name="Picture 5"/>
            <wp:cNvGraphicFramePr>
              <a:graphicFrameLocks noChangeAspect="1"/>
            </wp:cNvGraphicFramePr>
            <a:graphic>
              <a:graphicData uri="http://schemas.openxmlformats.org/drawingml/2006/picture">
                <pic:pic>
                  <pic:nvPicPr>
                    <pic:cNvPr id="0" name="fig4_1_methodology_flowchart.png"/>
                    <pic:cNvPicPr/>
                  </pic:nvPicPr>
                  <pic:blipFill>
                    <a:blip r:embed="rId13"/>
                    <a:stretch>
                      <a:fillRect/>
                    </a:stretch>
                  </pic:blipFill>
                  <pic:spPr>
                    <a:xfrm>
                      <a:off x="0" y="0"/>
                      <a:ext cx="5303520" cy="4242816"/>
                    </a:xfrm>
                    <a:prstGeom prst="rect"/>
                  </pic:spPr>
                </pic:pic>
              </a:graphicData>
            </a:graphic>
          </wp:inline>
        </w:drawing>
      </w:r>
    </w:p>
    <w:p>
      <w:pPr>
        <w:spacing w:after="240"/>
        <w:jc w:val="center"/>
      </w:pPr>
      <w:r>
        <w:rPr>
          <w:rFonts w:ascii="Times New Roman" w:hAnsi="Times New Roman"/>
          <w:b/>
          <w:i/>
          <w:color w:val="475569"/>
          <w:sz w:val="20"/>
        </w:rPr>
        <w:t>Figure 4.1: Reconciliation and Escalation Methodology Flowchart.</w:t>
      </w:r>
    </w:p>
    <w:p>
      <w:pPr>
        <w:spacing w:line="312" w:lineRule="auto" w:after="120"/>
        <w:jc w:val="both"/>
      </w:pPr>
      <w:r>
        <w:rPr>
          <w:rFonts w:ascii="Times New Roman" w:hAnsi="Times New Roman"/>
          <w:b/>
          <w:color w:val="0F172A"/>
          <w:sz w:val="23"/>
        </w:rPr>
        <w:t>Algorithm 1: Deterministic Variance &amp; Chronological Escalation Algorithm</w:t>
      </w:r>
    </w:p>
    <w:p>
      <w:pPr>
        <w:spacing w:line="312" w:lineRule="auto" w:after="240"/>
        <w:jc w:val="both"/>
      </w:pPr>
      <w:r>
        <w:rPr>
          <w:rFonts w:ascii="Times New Roman" w:hAnsi="Times New Roman"/>
          <w:color w:val="1E293B"/>
          <w:sz w:val="23"/>
        </w:rPr>
        <w:t>Input: Extracted Fact Set F_quote from Quote, Fact Set F_policy from Policy/Endorsement</w:t>
        <w:br/>
        <w:t>Output: Discrepancy Findings Set D, Escalation Flag E_agent</w:t>
        <w:br/>
        <w:t>1: Initialize D = {}, E_agent = False</w:t>
        <w:br/>
        <w:t>2: For each peril p in F_quote.perils:</w:t>
        <w:br/>
        <w:t>3:     limit_quote = F_quote.get_limit(p)</w:t>
        <w:br/>
        <w:t>4:     limit_policy = F_policy.get_limit(p)</w:t>
        <w:br/>
        <w:t>5:     delta_numerical = limit_quote - limit_policy</w:t>
        <w:br/>
        <w:t>6:     variance_pct = (delta_numerical / limit_quote) * 100</w:t>
        <w:br/>
        <w:t>7:     date_delta = DaysBetween(F_quote.effective_date, F_policy.effective_date)</w:t>
        <w:br/>
        <w:t>8:     If variance_pct &gt; 25.0 OR date_delta &gt; 14:</w:t>
        <w:br/>
        <w:t>9:         E_agent = True</w:t>
        <w:br/>
        <w:t>10:        D.append(CreateFinding(peril=p, delta=delta_numerical, date_gap=date_delta, severity='CRITICAL'))</w:t>
        <w:br/>
        <w:t>11: If E_agent is True:</w:t>
        <w:br/>
        <w:t>12:    Execute BoundedInvestigationAgent(F_quote, F_policy, D)</w:t>
        <w:br/>
        <w:t>13: Return D</w:t>
      </w:r>
    </w:p>
    <w:p>
      <w:pPr>
        <w:pStyle w:val="Heading2"/>
        <w:keepNext/>
        <w:spacing w:before="280" w:after="120"/>
      </w:pPr>
      <w:r>
        <w:rPr>
          <w:rFonts w:ascii="Times New Roman" w:hAnsi="Times New Roman"/>
          <w:b/>
          <w:color w:val="0F172A"/>
          <w:sz w:val="27"/>
        </w:rPr>
        <w:t>4.2 Experimental Setup &amp; Fictional Insurance Corpus</w:t>
      </w:r>
    </w:p>
    <w:p>
      <w:pPr>
        <w:spacing w:line="312" w:lineRule="auto" w:after="120"/>
        <w:jc w:val="both"/>
      </w:pPr>
      <w:r>
        <w:rPr>
          <w:rFonts w:ascii="Times New Roman" w:hAnsi="Times New Roman"/>
          <w:color w:val="1E293B"/>
          <w:sz w:val="23"/>
        </w:rPr>
        <w:t>To evaluate the system without exposing confidential client contracts or violating privacy regulations, a realistic fictional commercial property insurance corpus was created for Apex Global Logistics LLC (Total Insured Value: $24,500,000 across Chicago, Dallas, and Atlanta hubs). Table 4.1 outlines the corpus composition.</w:t>
      </w:r>
    </w:p>
    <w:tbl>
      <w:tblPr>
        <w:tblW w:type="auto" w:w="0"/>
        <w:jc w:val="center"/>
        <w:tblLook w:firstColumn="1" w:firstRow="1" w:lastColumn="0" w:lastRow="0" w:noHBand="0" w:noVBand="1" w:val="04A0"/>
      </w:tblPr>
      <w:tblGrid>
        <w:gridCol w:w="2257"/>
        <w:gridCol w:w="2257"/>
        <w:gridCol w:w="2257"/>
        <w:gridCol w:w="2257"/>
      </w:tblGrid>
      <w:tr>
        <w:trPr>
          <w:cantSplit/>
          <w:tblHeader/>
        </w:trPr>
        <w:tc>
          <w:tcPr>
            <w:tcW w:type="dxa" w:w="2160"/>
            <w:tcMar>
              <w:top w:w="120" w:type="dxa"/>
              <w:bottom w:w="120" w:type="dxa"/>
              <w:left w:w="140" w:type="dxa"/>
              <w:right w:w="140" w:type="dxa"/>
            </w:tcMar>
            <w:shd w:fill="1E293B"/>
          </w:tcPr>
          <w:p>
            <w:pPr>
              <w:spacing w:before="40" w:after="40"/>
              <w:jc w:val="center"/>
            </w:pPr>
            <w:r>
              <w:rPr>
                <w:rFonts w:ascii="Times New Roman" w:hAnsi="Times New Roman"/>
                <w:b/>
                <w:color w:val="FFFFFF"/>
                <w:sz w:val="20"/>
              </w:rPr>
              <w:t>Document Code</w:t>
            </w:r>
          </w:p>
        </w:tc>
        <w:tc>
          <w:tcPr>
            <w:tcW w:type="dxa" w:w="2592"/>
            <w:tcMar>
              <w:top w:w="120" w:type="dxa"/>
              <w:bottom w:w="120" w:type="dxa"/>
              <w:left w:w="140" w:type="dxa"/>
              <w:right w:w="140" w:type="dxa"/>
            </w:tcMar>
            <w:shd w:fill="1E293B"/>
          </w:tcPr>
          <w:p>
            <w:pPr>
              <w:spacing w:before="40" w:after="40"/>
              <w:jc w:val="center"/>
            </w:pPr>
            <w:r>
              <w:rPr>
                <w:rFonts w:ascii="Times New Roman" w:hAnsi="Times New Roman"/>
                <w:b/>
                <w:color w:val="FFFFFF"/>
                <w:sz w:val="20"/>
              </w:rPr>
              <w:t>Instrument Type</w:t>
            </w:r>
          </w:p>
        </w:tc>
        <w:tc>
          <w:tcPr>
            <w:tcW w:type="dxa" w:w="2592"/>
            <w:tcMar>
              <w:top w:w="120" w:type="dxa"/>
              <w:bottom w:w="120" w:type="dxa"/>
              <w:left w:w="140" w:type="dxa"/>
              <w:right w:w="140" w:type="dxa"/>
            </w:tcMar>
            <w:shd w:fill="1E293B"/>
          </w:tcPr>
          <w:p>
            <w:pPr>
              <w:spacing w:before="40" w:after="40"/>
              <w:jc w:val="center"/>
            </w:pPr>
            <w:r>
              <w:rPr>
                <w:rFonts w:ascii="Times New Roman" w:hAnsi="Times New Roman"/>
                <w:b/>
                <w:color w:val="FFFFFF"/>
                <w:sz w:val="20"/>
              </w:rPr>
              <w:t>Key Relevant Passage</w:t>
            </w:r>
          </w:p>
        </w:tc>
        <w:tc>
          <w:tcPr>
            <w:tcW w:type="dxa" w:w="1872"/>
            <w:tcMar>
              <w:top w:w="120" w:type="dxa"/>
              <w:bottom w:w="120" w:type="dxa"/>
              <w:left w:w="140" w:type="dxa"/>
              <w:right w:w="140" w:type="dxa"/>
            </w:tcMar>
            <w:shd w:fill="1E293B"/>
          </w:tcPr>
          <w:p>
            <w:pPr>
              <w:spacing w:before="40" w:after="40"/>
              <w:jc w:val="center"/>
            </w:pPr>
            <w:r>
              <w:rPr>
                <w:rFonts w:ascii="Times New Roman" w:hAnsi="Times New Roman"/>
                <w:b/>
                <w:color w:val="FFFFFF"/>
                <w:sz w:val="20"/>
              </w:rPr>
              <w:t>Effective Date</w:t>
            </w:r>
          </w:p>
        </w:tc>
      </w:tr>
      <w:tr>
        <w:trPr>
          <w:cantSplit/>
        </w:trPr>
        <w:tc>
          <w:tcPr>
            <w:tcW w:type="dxa" w:w="2160"/>
            <w:tcMar>
              <w:top w:w="120" w:type="dxa"/>
              <w:bottom w:w="120" w:type="dxa"/>
              <w:left w:w="140" w:type="dxa"/>
              <w:right w:w="140" w:type="dxa"/>
            </w:tcMar>
            <w:shd w:fill="F8FAFC"/>
          </w:tcPr>
          <w:p>
            <w:pPr>
              <w:spacing w:before="40" w:after="40"/>
            </w:pPr>
            <w:r>
              <w:rPr>
                <w:rFonts w:ascii="Times New Roman" w:hAnsi="Times New Roman"/>
                <w:color w:val="1E293B"/>
                <w:sz w:val="19"/>
              </w:rPr>
              <w:t>BQ-2025-8821</w:t>
            </w:r>
          </w:p>
        </w:tc>
        <w:tc>
          <w:tcPr>
            <w:tcW w:type="dxa" w:w="2592"/>
            <w:tcMar>
              <w:top w:w="120" w:type="dxa"/>
              <w:bottom w:w="120" w:type="dxa"/>
              <w:left w:w="140" w:type="dxa"/>
              <w:right w:w="140" w:type="dxa"/>
            </w:tcMar>
            <w:shd w:fill="F8FAFC"/>
          </w:tcPr>
          <w:p>
            <w:pPr>
              <w:spacing w:before="40" w:after="40"/>
            </w:pPr>
            <w:r>
              <w:rPr>
                <w:rFonts w:ascii="Times New Roman" w:hAnsi="Times New Roman"/>
                <w:color w:val="1E293B"/>
                <w:sz w:val="19"/>
              </w:rPr>
              <w:t>Broker Quote &amp; Binder</w:t>
            </w:r>
          </w:p>
        </w:tc>
        <w:tc>
          <w:tcPr>
            <w:tcW w:type="dxa" w:w="2592"/>
            <w:tcMar>
              <w:top w:w="120" w:type="dxa"/>
              <w:bottom w:w="120" w:type="dxa"/>
              <w:left w:w="140" w:type="dxa"/>
              <w:right w:w="140" w:type="dxa"/>
            </w:tcMar>
            <w:shd w:fill="F8FAFC"/>
          </w:tcPr>
          <w:p>
            <w:pPr>
              <w:spacing w:before="40" w:after="40"/>
            </w:pPr>
            <w:r>
              <w:rPr>
                <w:rFonts w:ascii="Times New Roman" w:hAnsi="Times New Roman"/>
                <w:color w:val="1E293B"/>
                <w:sz w:val="19"/>
              </w:rPr>
              <w:t>Sec 3.B: Affirmative Water/Sewer Backup included up to $1,000,000 blanket limit.</w:t>
            </w:r>
          </w:p>
        </w:tc>
        <w:tc>
          <w:tcPr>
            <w:tcW w:type="dxa" w:w="1872"/>
            <w:tcMar>
              <w:top w:w="120" w:type="dxa"/>
              <w:bottom w:w="120" w:type="dxa"/>
              <w:left w:w="140" w:type="dxa"/>
              <w:right w:w="140" w:type="dxa"/>
            </w:tcMar>
            <w:shd w:fill="F8FAFC"/>
          </w:tcPr>
          <w:p>
            <w:pPr>
              <w:spacing w:before="40" w:after="40"/>
            </w:pPr>
            <w:r>
              <w:rPr>
                <w:rFonts w:ascii="Times New Roman" w:hAnsi="Times New Roman"/>
                <w:color w:val="1E293B"/>
                <w:sz w:val="19"/>
              </w:rPr>
              <w:t>2025-04-01 (v1.4)</w:t>
            </w:r>
          </w:p>
        </w:tc>
      </w:tr>
      <w:tr>
        <w:trPr>
          <w:cantSplit/>
        </w:trPr>
        <w:tc>
          <w:tcPr>
            <w:tcW w:type="dxa" w:w="2160"/>
            <w:tcMar>
              <w:top w:w="120" w:type="dxa"/>
              <w:bottom w:w="120" w:type="dxa"/>
              <w:left w:w="140" w:type="dxa"/>
              <w:right w:w="140" w:type="dxa"/>
            </w:tcMar>
            <w:shd w:fill="FFFFFF"/>
          </w:tcPr>
          <w:p>
            <w:pPr>
              <w:spacing w:before="40" w:after="40"/>
            </w:pPr>
            <w:r>
              <w:rPr>
                <w:rFonts w:ascii="Times New Roman" w:hAnsi="Times New Roman"/>
                <w:color w:val="1E293B"/>
                <w:sz w:val="19"/>
              </w:rPr>
              <w:t>POL-CP-99042</w:t>
            </w:r>
          </w:p>
        </w:tc>
        <w:tc>
          <w:tcPr>
            <w:tcW w:type="dxa" w:w="2592"/>
            <w:tcMar>
              <w:top w:w="120" w:type="dxa"/>
              <w:bottom w:w="120" w:type="dxa"/>
              <w:left w:w="140" w:type="dxa"/>
              <w:right w:w="140" w:type="dxa"/>
            </w:tcMar>
            <w:shd w:fill="FFFFFF"/>
          </w:tcPr>
          <w:p>
            <w:pPr>
              <w:spacing w:before="40" w:after="40"/>
            </w:pPr>
            <w:r>
              <w:rPr>
                <w:rFonts w:ascii="Times New Roman" w:hAnsi="Times New Roman"/>
                <w:color w:val="1E293B"/>
                <w:sz w:val="19"/>
              </w:rPr>
              <w:t>Master Policy Jacket</w:t>
            </w:r>
          </w:p>
        </w:tc>
        <w:tc>
          <w:tcPr>
            <w:tcW w:type="dxa" w:w="2592"/>
            <w:tcMar>
              <w:top w:w="120" w:type="dxa"/>
              <w:bottom w:w="120" w:type="dxa"/>
              <w:left w:w="140" w:type="dxa"/>
              <w:right w:w="140" w:type="dxa"/>
            </w:tcMar>
            <w:shd w:fill="FFFFFF"/>
          </w:tcPr>
          <w:p>
            <w:pPr>
              <w:spacing w:before="40" w:after="40"/>
            </w:pPr>
            <w:r>
              <w:rPr>
                <w:rFonts w:ascii="Times New Roman" w:hAnsi="Times New Roman"/>
                <w:color w:val="1E293B"/>
                <w:sz w:val="19"/>
              </w:rPr>
              <w:t>Sec B.1.g: Standard ISO Water Exclusion subject to attached schedule endorsements.</w:t>
            </w:r>
          </w:p>
        </w:tc>
        <w:tc>
          <w:tcPr>
            <w:tcW w:type="dxa" w:w="1872"/>
            <w:tcMar>
              <w:top w:w="120" w:type="dxa"/>
              <w:bottom w:w="120" w:type="dxa"/>
              <w:left w:w="140" w:type="dxa"/>
              <w:right w:w="140" w:type="dxa"/>
            </w:tcMar>
            <w:shd w:fill="FFFFFF"/>
          </w:tcPr>
          <w:p>
            <w:pPr>
              <w:spacing w:before="40" w:after="40"/>
            </w:pPr>
            <w:r>
              <w:rPr>
                <w:rFonts w:ascii="Times New Roman" w:hAnsi="Times New Roman"/>
                <w:color w:val="1E293B"/>
                <w:sz w:val="19"/>
              </w:rPr>
              <w:t>2025-04-01 (v1.0)</w:t>
            </w:r>
          </w:p>
        </w:tc>
      </w:tr>
      <w:tr>
        <w:trPr>
          <w:cantSplit/>
        </w:trPr>
        <w:tc>
          <w:tcPr>
            <w:tcW w:type="dxa" w:w="2160"/>
            <w:tcMar>
              <w:top w:w="120" w:type="dxa"/>
              <w:bottom w:w="120" w:type="dxa"/>
              <w:left w:w="140" w:type="dxa"/>
              <w:right w:w="140" w:type="dxa"/>
            </w:tcMar>
            <w:shd w:fill="F8FAFC"/>
          </w:tcPr>
          <w:p>
            <w:pPr>
              <w:spacing w:before="40" w:after="40"/>
            </w:pPr>
            <w:r>
              <w:rPr>
                <w:rFonts w:ascii="Times New Roman" w:hAnsi="Times New Roman"/>
                <w:color w:val="1E293B"/>
                <w:sz w:val="19"/>
              </w:rPr>
              <w:t>END-04-WTR</w:t>
            </w:r>
          </w:p>
        </w:tc>
        <w:tc>
          <w:tcPr>
            <w:tcW w:type="dxa" w:w="2592"/>
            <w:tcMar>
              <w:top w:w="120" w:type="dxa"/>
              <w:bottom w:w="120" w:type="dxa"/>
              <w:left w:w="140" w:type="dxa"/>
              <w:right w:w="140" w:type="dxa"/>
            </w:tcMar>
            <w:shd w:fill="F8FAFC"/>
          </w:tcPr>
          <w:p>
            <w:pPr>
              <w:spacing w:before="40" w:after="40"/>
            </w:pPr>
            <w:r>
              <w:rPr>
                <w:rFonts w:ascii="Times New Roman" w:hAnsi="Times New Roman"/>
                <w:color w:val="1E293B"/>
                <w:sz w:val="19"/>
              </w:rPr>
              <w:t>Later Endorsement</w:t>
            </w:r>
          </w:p>
        </w:tc>
        <w:tc>
          <w:tcPr>
            <w:tcW w:type="dxa" w:w="2592"/>
            <w:tcMar>
              <w:top w:w="120" w:type="dxa"/>
              <w:bottom w:w="120" w:type="dxa"/>
              <w:left w:w="140" w:type="dxa"/>
              <w:right w:w="140" w:type="dxa"/>
            </w:tcMar>
            <w:shd w:fill="F8FAFC"/>
          </w:tcPr>
          <w:p>
            <w:pPr>
              <w:spacing w:before="40" w:after="40"/>
            </w:pPr>
            <w:r>
              <w:rPr>
                <w:rFonts w:ascii="Times New Roman" w:hAnsi="Times New Roman"/>
                <w:color w:val="1E293B"/>
                <w:sz w:val="19"/>
              </w:rPr>
              <w:t>Clause 2: Sewer backup coverage subject to aggregate sub-limit of $50,000.</w:t>
            </w:r>
          </w:p>
        </w:tc>
        <w:tc>
          <w:tcPr>
            <w:tcW w:type="dxa" w:w="1872"/>
            <w:tcMar>
              <w:top w:w="120" w:type="dxa"/>
              <w:bottom w:w="120" w:type="dxa"/>
              <w:left w:w="140" w:type="dxa"/>
              <w:right w:w="140" w:type="dxa"/>
            </w:tcMar>
            <w:shd w:fill="F8FAFC"/>
          </w:tcPr>
          <w:p>
            <w:pPr>
              <w:spacing w:before="40" w:after="40"/>
            </w:pPr>
            <w:r>
              <w:rPr>
                <w:rFonts w:ascii="Times New Roman" w:hAnsi="Times New Roman"/>
                <w:color w:val="1E293B"/>
                <w:sz w:val="19"/>
              </w:rPr>
              <w:t>2025-04-18 (v2.1, +17d)</w:t>
            </w:r>
          </w:p>
        </w:tc>
      </w:tr>
    </w:tbl>
    <w:p>
      <w:pPr>
        <w:spacing w:line="312" w:lineRule="auto" w:after="240"/>
        <w:jc w:val="both"/>
      </w:pPr>
      <w:r>
        <w:rPr>
          <w:rFonts w:ascii="Times New Roman" w:hAnsi="Times New Roman"/>
          <w:color w:val="1E293B"/>
          <w:sz w:val="23"/>
        </w:rPr>
        <w:t>Table 4.1: Fictional Commercial Property Policy Dataset Profile.</w:t>
      </w:r>
    </w:p>
    <w:p>
      <w:pPr>
        <w:pStyle w:val="Heading2"/>
        <w:keepNext/>
        <w:spacing w:before="280" w:after="120"/>
      </w:pPr>
      <w:r>
        <w:rPr>
          <w:rFonts w:ascii="Times New Roman" w:hAnsi="Times New Roman"/>
          <w:b/>
          <w:color w:val="0F172A"/>
          <w:sz w:val="27"/>
        </w:rPr>
        <w:t>4.3 Implementation Details &amp; Source Code Modules</w:t>
      </w:r>
    </w:p>
    <w:p>
      <w:pPr>
        <w:spacing w:line="312" w:lineRule="auto" w:after="120"/>
        <w:jc w:val="both"/>
      </w:pPr>
      <w:r>
        <w:rPr>
          <w:rFonts w:ascii="Times New Roman" w:hAnsi="Times New Roman"/>
          <w:color w:val="1E293B"/>
          <w:sz w:val="23"/>
        </w:rPr>
        <w:t>The source code is cleanly structured into domain types, contextual state providers, modular UI components, and simulation runners:</w:t>
      </w:r>
    </w:p>
    <w:p>
      <w:pPr>
        <w:pStyle w:val="ListBullet"/>
        <w:spacing w:line="300" w:lineRule="auto" w:after="80"/>
        <w:jc w:val="both"/>
      </w:pPr>
      <w:r>
        <w:rPr>
          <w:rFonts w:ascii="Times New Roman" w:hAnsi="Times New Roman"/>
          <w:b/>
          <w:color w:val="0F172A"/>
          <w:sz w:val="22"/>
        </w:rPr>
        <w:t xml:space="preserve">src/types/insurance.ts: </w:t>
      </w:r>
      <w:r>
        <w:rPr>
          <w:rFonts w:ascii="Times New Roman" w:hAnsi="Times New Roman"/>
          <w:color w:val="1E293B"/>
          <w:sz w:val="22"/>
        </w:rPr>
        <w:t>Defines TypeScript interfaces for InsuranceDocument, Finding, ReviewStatus, EvidenceSource, and AuditLogEntry.</w:t>
      </w:r>
    </w:p>
    <w:p>
      <w:pPr>
        <w:pStyle w:val="ListBullet"/>
        <w:spacing w:line="300" w:lineRule="auto" w:after="80"/>
        <w:jc w:val="both"/>
      </w:pPr>
      <w:r>
        <w:rPr>
          <w:rFonts w:ascii="Times New Roman" w:hAnsi="Times New Roman"/>
          <w:b/>
          <w:color w:val="0F172A"/>
          <w:sz w:val="22"/>
        </w:rPr>
        <w:t xml:space="preserve">src/context/ReconciliationContext.tsx: </w:t>
      </w:r>
      <w:r>
        <w:rPr>
          <w:rFonts w:ascii="Times New Roman" w:hAnsi="Times New Roman"/>
          <w:color w:val="1E293B"/>
          <w:sz w:val="22"/>
        </w:rPr>
        <w:t>Central React context managing reactive state, localStorage synchronization, finding status transitions, and simulation playback.</w:t>
      </w:r>
    </w:p>
    <w:p>
      <w:pPr>
        <w:pStyle w:val="ListBullet"/>
        <w:spacing w:line="300" w:lineRule="auto" w:after="80"/>
        <w:jc w:val="both"/>
      </w:pPr>
      <w:r>
        <w:rPr>
          <w:rFonts w:ascii="Times New Roman" w:hAnsi="Times New Roman"/>
          <w:b/>
          <w:color w:val="0F172A"/>
          <w:sz w:val="22"/>
        </w:rPr>
        <w:t xml:space="preserve">src/components/workspace/SideBySideViewer.tsx: </w:t>
      </w:r>
      <w:r>
        <w:rPr>
          <w:rFonts w:ascii="Times New Roman" w:hAnsi="Times New Roman"/>
          <w:color w:val="1E293B"/>
          <w:sz w:val="22"/>
        </w:rPr>
        <w:t>Dual-pane comparison component rendering extracted quotes side by side with word-level highlight marks and four-part structured analysis.</w:t>
      </w:r>
    </w:p>
    <w:p>
      <w:pPr>
        <w:pStyle w:val="ListBullet"/>
        <w:spacing w:line="300" w:lineRule="auto" w:after="80"/>
        <w:jc w:val="both"/>
      </w:pPr>
      <w:r>
        <w:rPr>
          <w:rFonts w:ascii="Times New Roman" w:hAnsi="Times New Roman"/>
          <w:b/>
          <w:color w:val="0F172A"/>
          <w:sz w:val="22"/>
        </w:rPr>
        <w:t xml:space="preserve">src/components/workspace/EvidenceInspector.tsx: </w:t>
      </w:r>
      <w:r>
        <w:rPr>
          <w:rFonts w:ascii="Times New Roman" w:hAnsi="Times New Roman"/>
          <w:color w:val="1E293B"/>
          <w:sz w:val="22"/>
        </w:rPr>
        <w:t>Deep inspection panel presenting cryptographic provenance, chronological agent traces, and uncertainty boundaries.</w:t>
      </w:r>
    </w:p>
    <w:p>
      <w:pPr>
        <w:pStyle w:val="ListBullet"/>
        <w:spacing w:line="300" w:lineRule="auto" w:after="80"/>
        <w:jc w:val="both"/>
      </w:pPr>
      <w:r>
        <w:rPr>
          <w:rFonts w:ascii="Times New Roman" w:hAnsi="Times New Roman"/>
          <w:b/>
          <w:color w:val="0F172A"/>
          <w:sz w:val="22"/>
        </w:rPr>
        <w:t xml:space="preserve">src/components/review/ReviewConsole.tsx: </w:t>
      </w:r>
      <w:r>
        <w:rPr>
          <w:rFonts w:ascii="Times New Roman" w:hAnsi="Times New Roman"/>
          <w:color w:val="1E293B"/>
          <w:sz w:val="22"/>
        </w:rPr>
        <w:t>Human triage workstation enabling underwriters to record notes and execute status transitions (Confirm, Dismiss, Investigate, Resolve).</w:t>
      </w:r>
    </w:p>
    <w:p>
      <w:pPr>
        <w:spacing w:line="312" w:lineRule="auto" w:after="120"/>
        <w:jc w:val="both"/>
      </w:pPr>
      <w:r>
        <w:rPr>
          <w:rFonts w:ascii="Times New Roman" w:hAnsi="Times New Roman"/>
          <w:b/>
          <w:color w:val="0F172A"/>
          <w:sz w:val="23"/>
        </w:rPr>
        <w:t xml:space="preserve">Public Deployment Verification: </w:t>
      </w:r>
      <w:r>
        <w:rPr>
          <w:rFonts w:ascii="Times New Roman" w:hAnsi="Times New Roman"/>
          <w:color w:val="1E293B"/>
          <w:sz w:val="23"/>
        </w:rPr>
        <w:t>The application has been built and deployed to Vercel at https://coverage-truth-layer.vercel.app/. Verified live behavior includes responsive desktop/mobile rendering, instant tab transitions, real-time simulation streaming, and persistent local audit storage.</w:t>
      </w:r>
    </w:p>
    <w:p>
      <w:r>
        <w:br w:type="page"/>
      </w:r>
    </w:p>
    <w:p>
      <w:pPr>
        <w:pStyle w:val="Heading1"/>
        <w:keepNext/>
        <w:spacing w:before="280" w:after="120"/>
      </w:pPr>
      <w:r>
        <w:rPr>
          <w:rFonts w:ascii="Times New Roman" w:hAnsi="Times New Roman"/>
          <w:b/>
          <w:color w:val="0F172A"/>
          <w:sz w:val="32"/>
        </w:rPr>
        <w:t>CHAPTER 5: RESULTS, OUTPUTS AND DISCUSSIONS</w:t>
      </w:r>
    </w:p>
    <w:p>
      <w:pPr>
        <w:pStyle w:val="Heading2"/>
        <w:keepNext/>
        <w:spacing w:before="280" w:after="120"/>
      </w:pPr>
      <w:r>
        <w:rPr>
          <w:rFonts w:ascii="Times New Roman" w:hAnsi="Times New Roman"/>
          <w:b/>
          <w:color w:val="0F172A"/>
          <w:sz w:val="27"/>
        </w:rPr>
        <w:t>5.1 Test Cases and Execution Results</w:t>
      </w:r>
    </w:p>
    <w:p>
      <w:pPr>
        <w:spacing w:line="312" w:lineRule="auto" w:after="120"/>
        <w:jc w:val="both"/>
      </w:pPr>
      <w:r>
        <w:rPr>
          <w:rFonts w:ascii="Times New Roman" w:hAnsi="Times New Roman"/>
          <w:color w:val="1E293B"/>
          <w:sz w:val="23"/>
        </w:rPr>
        <w:t>System verification was conducted across eight distinct test cases covering numerical variance, chronological disparities, evidence linking, and user interactions. Table 5.1 presents the results.</w:t>
      </w:r>
    </w:p>
    <w:tbl>
      <w:tblPr>
        <w:tblW w:type="auto" w:w="0"/>
        <w:jc w:val="center"/>
        <w:tblLook w:firstColumn="1" w:firstRow="1" w:lastColumn="0" w:lastRow="0" w:noHBand="0" w:noVBand="1" w:val="04A0"/>
      </w:tblPr>
      <w:tblGrid>
        <w:gridCol w:w="1505"/>
        <w:gridCol w:w="1505"/>
        <w:gridCol w:w="1505"/>
        <w:gridCol w:w="1505"/>
        <w:gridCol w:w="1505"/>
        <w:gridCol w:w="1505"/>
      </w:tblGrid>
      <w:tr>
        <w:trPr>
          <w:cantSplit/>
          <w:tblHeader/>
        </w:trPr>
        <w:tc>
          <w:tcPr>
            <w:tcW w:type="dxa" w:w="1152"/>
            <w:tcMar>
              <w:top w:w="120" w:type="dxa"/>
              <w:bottom w:w="120" w:type="dxa"/>
              <w:left w:w="140" w:type="dxa"/>
              <w:right w:w="140" w:type="dxa"/>
            </w:tcMar>
            <w:shd w:fill="1E293B"/>
          </w:tcPr>
          <w:p>
            <w:pPr>
              <w:spacing w:before="40" w:after="40"/>
              <w:jc w:val="center"/>
            </w:pPr>
            <w:r>
              <w:rPr>
                <w:rFonts w:ascii="Times New Roman" w:hAnsi="Times New Roman"/>
                <w:b/>
                <w:color w:val="FFFFFF"/>
                <w:sz w:val="20"/>
              </w:rPr>
              <w:t>Test ID</w:t>
            </w:r>
          </w:p>
        </w:tc>
        <w:tc>
          <w:tcPr>
            <w:tcW w:type="dxa" w:w="2016"/>
            <w:tcMar>
              <w:top w:w="120" w:type="dxa"/>
              <w:bottom w:w="120" w:type="dxa"/>
              <w:left w:w="140" w:type="dxa"/>
              <w:right w:w="140" w:type="dxa"/>
            </w:tcMar>
            <w:shd w:fill="1E293B"/>
          </w:tcPr>
          <w:p>
            <w:pPr>
              <w:spacing w:before="40" w:after="40"/>
              <w:jc w:val="center"/>
            </w:pPr>
            <w:r>
              <w:rPr>
                <w:rFonts w:ascii="Times New Roman" w:hAnsi="Times New Roman"/>
                <w:b/>
                <w:color w:val="FFFFFF"/>
                <w:sz w:val="20"/>
              </w:rPr>
              <w:t>Scenario</w:t>
            </w:r>
          </w:p>
        </w:tc>
        <w:tc>
          <w:tcPr>
            <w:tcW w:type="dxa" w:w="1872"/>
            <w:tcMar>
              <w:top w:w="120" w:type="dxa"/>
              <w:bottom w:w="120" w:type="dxa"/>
              <w:left w:w="140" w:type="dxa"/>
              <w:right w:w="140" w:type="dxa"/>
            </w:tcMar>
            <w:shd w:fill="1E293B"/>
          </w:tcPr>
          <w:p>
            <w:pPr>
              <w:spacing w:before="40" w:after="40"/>
              <w:jc w:val="center"/>
            </w:pPr>
            <w:r>
              <w:rPr>
                <w:rFonts w:ascii="Times New Roman" w:hAnsi="Times New Roman"/>
                <w:b/>
                <w:color w:val="FFFFFF"/>
                <w:sz w:val="20"/>
              </w:rPr>
              <w:t>Input Condition</w:t>
            </w:r>
          </w:p>
        </w:tc>
        <w:tc>
          <w:tcPr>
            <w:tcW w:type="dxa" w:w="1872"/>
            <w:tcMar>
              <w:top w:w="120" w:type="dxa"/>
              <w:bottom w:w="120" w:type="dxa"/>
              <w:left w:w="140" w:type="dxa"/>
              <w:right w:w="140" w:type="dxa"/>
            </w:tcMar>
            <w:shd w:fill="1E293B"/>
          </w:tcPr>
          <w:p>
            <w:pPr>
              <w:spacing w:before="40" w:after="40"/>
              <w:jc w:val="center"/>
            </w:pPr>
            <w:r>
              <w:rPr>
                <w:rFonts w:ascii="Times New Roman" w:hAnsi="Times New Roman"/>
                <w:b/>
                <w:color w:val="FFFFFF"/>
                <w:sz w:val="20"/>
              </w:rPr>
              <w:t>Expected Output</w:t>
            </w:r>
          </w:p>
        </w:tc>
        <w:tc>
          <w:tcPr>
            <w:tcW w:type="dxa" w:w="1008"/>
            <w:tcMar>
              <w:top w:w="120" w:type="dxa"/>
              <w:bottom w:w="120" w:type="dxa"/>
              <w:left w:w="140" w:type="dxa"/>
              <w:right w:w="140" w:type="dxa"/>
            </w:tcMar>
            <w:shd w:fill="1E293B"/>
          </w:tcPr>
          <w:p>
            <w:pPr>
              <w:spacing w:before="40" w:after="40"/>
              <w:jc w:val="center"/>
            </w:pPr>
            <w:r>
              <w:rPr>
                <w:rFonts w:ascii="Times New Roman" w:hAnsi="Times New Roman"/>
                <w:b/>
                <w:color w:val="FFFFFF"/>
                <w:sz w:val="20"/>
              </w:rPr>
              <w:t>Status</w:t>
            </w:r>
          </w:p>
        </w:tc>
        <w:tc>
          <w:tcPr>
            <w:tcW w:type="dxa" w:w="1296"/>
            <w:tcMar>
              <w:top w:w="120" w:type="dxa"/>
              <w:bottom w:w="120" w:type="dxa"/>
              <w:left w:w="140" w:type="dxa"/>
              <w:right w:w="140" w:type="dxa"/>
            </w:tcMar>
            <w:shd w:fill="1E293B"/>
          </w:tcPr>
          <w:p>
            <w:pPr>
              <w:spacing w:before="40" w:after="40"/>
              <w:jc w:val="center"/>
            </w:pPr>
            <w:r>
              <w:rPr>
                <w:rFonts w:ascii="Times New Roman" w:hAnsi="Times New Roman"/>
                <w:b/>
                <w:color w:val="FFFFFF"/>
                <w:sz w:val="20"/>
              </w:rPr>
              <w:t>Remarks</w:t>
            </w:r>
          </w:p>
        </w:tc>
      </w:tr>
      <w:tr>
        <w:trPr>
          <w:cantSplit/>
        </w:trPr>
        <w:tc>
          <w:tcPr>
            <w:tcW w:type="dxa" w:w="1152"/>
            <w:tcMar>
              <w:top w:w="120" w:type="dxa"/>
              <w:bottom w:w="120" w:type="dxa"/>
              <w:left w:w="140" w:type="dxa"/>
              <w:right w:w="140" w:type="dxa"/>
            </w:tcMar>
            <w:shd w:fill="F8FAFC"/>
          </w:tcPr>
          <w:p>
            <w:pPr>
              <w:spacing w:before="40" w:after="40"/>
            </w:pPr>
            <w:r>
              <w:rPr>
                <w:rFonts w:ascii="Times New Roman" w:hAnsi="Times New Roman"/>
                <w:color w:val="1E293B"/>
                <w:sz w:val="19"/>
              </w:rPr>
              <w:t>TC-01</w:t>
            </w:r>
          </w:p>
        </w:tc>
        <w:tc>
          <w:tcPr>
            <w:tcW w:type="dxa" w:w="2016"/>
            <w:tcMar>
              <w:top w:w="120" w:type="dxa"/>
              <w:bottom w:w="120" w:type="dxa"/>
              <w:left w:w="140" w:type="dxa"/>
              <w:right w:w="140" w:type="dxa"/>
            </w:tcMar>
            <w:shd w:fill="F8FAFC"/>
          </w:tcPr>
          <w:p>
            <w:pPr>
              <w:spacing w:before="40" w:after="40"/>
            </w:pPr>
            <w:r>
              <w:rPr>
                <w:rFonts w:ascii="Times New Roman" w:hAnsi="Times New Roman"/>
                <w:color w:val="1E293B"/>
                <w:sz w:val="19"/>
              </w:rPr>
              <w:t>Numerical Contradiction</w:t>
            </w:r>
          </w:p>
        </w:tc>
        <w:tc>
          <w:tcPr>
            <w:tcW w:type="dxa" w:w="1872"/>
            <w:tcMar>
              <w:top w:w="120" w:type="dxa"/>
              <w:bottom w:w="120" w:type="dxa"/>
              <w:left w:w="140" w:type="dxa"/>
              <w:right w:w="140" w:type="dxa"/>
            </w:tcMar>
            <w:shd w:fill="F8FAFC"/>
          </w:tcPr>
          <w:p>
            <w:pPr>
              <w:spacing w:before="40" w:after="40"/>
            </w:pPr>
            <w:r>
              <w:rPr>
                <w:rFonts w:ascii="Times New Roman" w:hAnsi="Times New Roman"/>
                <w:color w:val="1E293B"/>
                <w:sz w:val="19"/>
              </w:rPr>
              <w:t>$1M Quote vs $50k Endorsement</w:t>
            </w:r>
          </w:p>
        </w:tc>
        <w:tc>
          <w:tcPr>
            <w:tcW w:type="dxa" w:w="1872"/>
            <w:tcMar>
              <w:top w:w="120" w:type="dxa"/>
              <w:bottom w:w="120" w:type="dxa"/>
              <w:left w:w="140" w:type="dxa"/>
              <w:right w:w="140" w:type="dxa"/>
            </w:tcMar>
            <w:shd w:fill="F8FAFC"/>
          </w:tcPr>
          <w:p>
            <w:pPr>
              <w:spacing w:before="40" w:after="40"/>
            </w:pPr>
            <w:r>
              <w:rPr>
                <w:rFonts w:ascii="Times New Roman" w:hAnsi="Times New Roman"/>
                <w:color w:val="1E293B"/>
                <w:sz w:val="19"/>
              </w:rPr>
              <w:t>Flag Critical finding with -$950k delta</w:t>
            </w:r>
          </w:p>
        </w:tc>
        <w:tc>
          <w:tcPr>
            <w:tcW w:type="dxa" w:w="1008"/>
            <w:tcMar>
              <w:top w:w="120" w:type="dxa"/>
              <w:bottom w:w="120" w:type="dxa"/>
              <w:left w:w="140" w:type="dxa"/>
              <w:right w:w="140" w:type="dxa"/>
            </w:tcMar>
            <w:shd w:fill="F8FAFC"/>
          </w:tcPr>
          <w:p>
            <w:pPr>
              <w:spacing w:before="40" w:after="40"/>
            </w:pPr>
            <w:r>
              <w:rPr>
                <w:rFonts w:ascii="Times New Roman" w:hAnsi="Times New Roman"/>
                <w:color w:val="1E293B"/>
                <w:sz w:val="19"/>
              </w:rPr>
              <w:t>PASS</w:t>
            </w:r>
          </w:p>
        </w:tc>
        <w:tc>
          <w:tcPr>
            <w:tcW w:type="dxa" w:w="1296"/>
            <w:tcMar>
              <w:top w:w="120" w:type="dxa"/>
              <w:bottom w:w="120" w:type="dxa"/>
              <w:left w:w="140" w:type="dxa"/>
              <w:right w:w="140" w:type="dxa"/>
            </w:tcMar>
            <w:shd w:fill="F8FAFC"/>
          </w:tcPr>
          <w:p>
            <w:pPr>
              <w:spacing w:before="40" w:after="40"/>
            </w:pPr>
            <w:r>
              <w:rPr>
                <w:rFonts w:ascii="Times New Roman" w:hAnsi="Times New Roman"/>
                <w:color w:val="1E293B"/>
                <w:sz w:val="19"/>
              </w:rPr>
              <w:t>Deterministic rule verified</w:t>
            </w:r>
          </w:p>
        </w:tc>
      </w:tr>
      <w:tr>
        <w:trPr>
          <w:cantSplit/>
        </w:trPr>
        <w:tc>
          <w:tcPr>
            <w:tcW w:type="dxa" w:w="1152"/>
            <w:tcMar>
              <w:top w:w="120" w:type="dxa"/>
              <w:bottom w:w="120" w:type="dxa"/>
              <w:left w:w="140" w:type="dxa"/>
              <w:right w:w="140" w:type="dxa"/>
            </w:tcMar>
            <w:shd w:fill="FFFFFF"/>
          </w:tcPr>
          <w:p>
            <w:pPr>
              <w:spacing w:before="40" w:after="40"/>
            </w:pPr>
            <w:r>
              <w:rPr>
                <w:rFonts w:ascii="Times New Roman" w:hAnsi="Times New Roman"/>
                <w:color w:val="1E293B"/>
                <w:sz w:val="19"/>
              </w:rPr>
              <w:t>TC-02</w:t>
            </w:r>
          </w:p>
        </w:tc>
        <w:tc>
          <w:tcPr>
            <w:tcW w:type="dxa" w:w="2016"/>
            <w:tcMar>
              <w:top w:w="120" w:type="dxa"/>
              <w:bottom w:w="120" w:type="dxa"/>
              <w:left w:w="140" w:type="dxa"/>
              <w:right w:w="140" w:type="dxa"/>
            </w:tcMar>
            <w:shd w:fill="FFFFFF"/>
          </w:tcPr>
          <w:p>
            <w:pPr>
              <w:spacing w:before="40" w:after="40"/>
            </w:pPr>
            <w:r>
              <w:rPr>
                <w:rFonts w:ascii="Times New Roman" w:hAnsi="Times New Roman"/>
                <w:color w:val="1E293B"/>
                <w:sz w:val="19"/>
              </w:rPr>
              <w:t>Effective Date Disparity</w:t>
            </w:r>
          </w:p>
        </w:tc>
        <w:tc>
          <w:tcPr>
            <w:tcW w:type="dxa" w:w="1872"/>
            <w:tcMar>
              <w:top w:w="120" w:type="dxa"/>
              <w:bottom w:w="120" w:type="dxa"/>
              <w:left w:w="140" w:type="dxa"/>
              <w:right w:w="140" w:type="dxa"/>
            </w:tcMar>
            <w:shd w:fill="FFFFFF"/>
          </w:tcPr>
          <w:p>
            <w:pPr>
              <w:spacing w:before="40" w:after="40"/>
            </w:pPr>
            <w:r>
              <w:rPr>
                <w:rFonts w:ascii="Times New Roman" w:hAnsi="Times New Roman"/>
                <w:color w:val="1E293B"/>
                <w:sz w:val="19"/>
              </w:rPr>
              <w:t>Quote (04-01) vs Endorsement (04-18)</w:t>
            </w:r>
          </w:p>
        </w:tc>
        <w:tc>
          <w:tcPr>
            <w:tcW w:type="dxa" w:w="1872"/>
            <w:tcMar>
              <w:top w:w="120" w:type="dxa"/>
              <w:bottom w:w="120" w:type="dxa"/>
              <w:left w:w="140" w:type="dxa"/>
              <w:right w:w="140" w:type="dxa"/>
            </w:tcMar>
            <w:shd w:fill="FFFFFF"/>
          </w:tcPr>
          <w:p>
            <w:pPr>
              <w:spacing w:before="40" w:after="40"/>
            </w:pPr>
            <w:r>
              <w:rPr>
                <w:rFonts w:ascii="Times New Roman" w:hAnsi="Times New Roman"/>
                <w:color w:val="1E293B"/>
                <w:sz w:val="19"/>
              </w:rPr>
              <w:t>Trigger Bounded Agent escalation (&gt;14d)</w:t>
            </w:r>
          </w:p>
        </w:tc>
        <w:tc>
          <w:tcPr>
            <w:tcW w:type="dxa" w:w="1008"/>
            <w:tcMar>
              <w:top w:w="120" w:type="dxa"/>
              <w:bottom w:w="120" w:type="dxa"/>
              <w:left w:w="140" w:type="dxa"/>
              <w:right w:w="140" w:type="dxa"/>
            </w:tcMar>
            <w:shd w:fill="FFFFFF"/>
          </w:tcPr>
          <w:p>
            <w:pPr>
              <w:spacing w:before="40" w:after="40"/>
            </w:pPr>
            <w:r>
              <w:rPr>
                <w:rFonts w:ascii="Times New Roman" w:hAnsi="Times New Roman"/>
                <w:color w:val="1E293B"/>
                <w:sz w:val="19"/>
              </w:rPr>
              <w:t>PASS</w:t>
            </w:r>
          </w:p>
        </w:tc>
        <w:tc>
          <w:tcPr>
            <w:tcW w:type="dxa" w:w="1296"/>
            <w:tcMar>
              <w:top w:w="120" w:type="dxa"/>
              <w:bottom w:w="120" w:type="dxa"/>
              <w:left w:w="140" w:type="dxa"/>
              <w:right w:w="140" w:type="dxa"/>
            </w:tcMar>
            <w:shd w:fill="FFFFFF"/>
          </w:tcPr>
          <w:p>
            <w:pPr>
              <w:spacing w:before="40" w:after="40"/>
            </w:pPr>
            <w:r>
              <w:rPr>
                <w:rFonts w:ascii="Times New Roman" w:hAnsi="Times New Roman"/>
                <w:color w:val="1E293B"/>
                <w:sz w:val="19"/>
              </w:rPr>
              <w:t>Chronology gap caught</w:t>
            </w:r>
          </w:p>
        </w:tc>
      </w:tr>
      <w:tr>
        <w:trPr>
          <w:cantSplit/>
        </w:trPr>
        <w:tc>
          <w:tcPr>
            <w:tcW w:type="dxa" w:w="1152"/>
            <w:tcMar>
              <w:top w:w="120" w:type="dxa"/>
              <w:bottom w:w="120" w:type="dxa"/>
              <w:left w:w="140" w:type="dxa"/>
              <w:right w:w="140" w:type="dxa"/>
            </w:tcMar>
            <w:shd w:fill="F8FAFC"/>
          </w:tcPr>
          <w:p>
            <w:pPr>
              <w:spacing w:before="40" w:after="40"/>
            </w:pPr>
            <w:r>
              <w:rPr>
                <w:rFonts w:ascii="Times New Roman" w:hAnsi="Times New Roman"/>
                <w:color w:val="1E293B"/>
                <w:sz w:val="19"/>
              </w:rPr>
              <w:t>TC-03</w:t>
            </w:r>
          </w:p>
        </w:tc>
        <w:tc>
          <w:tcPr>
            <w:tcW w:type="dxa" w:w="2016"/>
            <w:tcMar>
              <w:top w:w="120" w:type="dxa"/>
              <w:bottom w:w="120" w:type="dxa"/>
              <w:left w:w="140" w:type="dxa"/>
              <w:right w:w="140" w:type="dxa"/>
            </w:tcMar>
            <w:shd w:fill="F8FAFC"/>
          </w:tcPr>
          <w:p>
            <w:pPr>
              <w:spacing w:before="40" w:after="40"/>
            </w:pPr>
            <w:r>
              <w:rPr>
                <w:rFonts w:ascii="Times New Roman" w:hAnsi="Times New Roman"/>
                <w:color w:val="1E293B"/>
                <w:sz w:val="19"/>
              </w:rPr>
              <w:t>Evidence Anchor Trace</w:t>
            </w:r>
          </w:p>
        </w:tc>
        <w:tc>
          <w:tcPr>
            <w:tcW w:type="dxa" w:w="1872"/>
            <w:tcMar>
              <w:top w:w="120" w:type="dxa"/>
              <w:bottom w:w="120" w:type="dxa"/>
              <w:left w:w="140" w:type="dxa"/>
              <w:right w:w="140" w:type="dxa"/>
            </w:tcMar>
            <w:shd w:fill="F8FAFC"/>
          </w:tcPr>
          <w:p>
            <w:pPr>
              <w:spacing w:before="40" w:after="40"/>
            </w:pPr>
            <w:r>
              <w:rPr>
                <w:rFonts w:ascii="Times New Roman" w:hAnsi="Times New Roman"/>
                <w:color w:val="1E293B"/>
                <w:sz w:val="19"/>
              </w:rPr>
              <w:t>Select Finding find-001</w:t>
            </w:r>
          </w:p>
        </w:tc>
        <w:tc>
          <w:tcPr>
            <w:tcW w:type="dxa" w:w="1872"/>
            <w:tcMar>
              <w:top w:w="120" w:type="dxa"/>
              <w:bottom w:w="120" w:type="dxa"/>
              <w:left w:w="140" w:type="dxa"/>
              <w:right w:w="140" w:type="dxa"/>
            </w:tcMar>
            <w:shd w:fill="F8FAFC"/>
          </w:tcPr>
          <w:p>
            <w:pPr>
              <w:spacing w:before="40" w:after="40"/>
            </w:pPr>
            <w:r>
              <w:rPr>
                <w:rFonts w:ascii="Times New Roman" w:hAnsi="Times New Roman"/>
                <w:color w:val="1E293B"/>
                <w:sz w:val="19"/>
              </w:rPr>
              <w:t>Render Sec 3.B and Clause 2 quotes with hashes</w:t>
            </w:r>
          </w:p>
        </w:tc>
        <w:tc>
          <w:tcPr>
            <w:tcW w:type="dxa" w:w="1008"/>
            <w:tcMar>
              <w:top w:w="120" w:type="dxa"/>
              <w:bottom w:w="120" w:type="dxa"/>
              <w:left w:w="140" w:type="dxa"/>
              <w:right w:w="140" w:type="dxa"/>
            </w:tcMar>
            <w:shd w:fill="F8FAFC"/>
          </w:tcPr>
          <w:p>
            <w:pPr>
              <w:spacing w:before="40" w:after="40"/>
            </w:pPr>
            <w:r>
              <w:rPr>
                <w:rFonts w:ascii="Times New Roman" w:hAnsi="Times New Roman"/>
                <w:color w:val="1E293B"/>
                <w:sz w:val="19"/>
              </w:rPr>
              <w:t>PASS</w:t>
            </w:r>
          </w:p>
        </w:tc>
        <w:tc>
          <w:tcPr>
            <w:tcW w:type="dxa" w:w="1296"/>
            <w:tcMar>
              <w:top w:w="120" w:type="dxa"/>
              <w:bottom w:w="120" w:type="dxa"/>
              <w:left w:w="140" w:type="dxa"/>
              <w:right w:w="140" w:type="dxa"/>
            </w:tcMar>
            <w:shd w:fill="F8FAFC"/>
          </w:tcPr>
          <w:p>
            <w:pPr>
              <w:spacing w:before="40" w:after="40"/>
            </w:pPr>
            <w:r>
              <w:rPr>
                <w:rFonts w:ascii="Times New Roman" w:hAnsi="Times New Roman"/>
                <w:color w:val="1E293B"/>
                <w:sz w:val="19"/>
              </w:rPr>
              <w:t>100% citation fidelity</w:t>
            </w:r>
          </w:p>
        </w:tc>
      </w:tr>
      <w:tr>
        <w:trPr>
          <w:cantSplit/>
        </w:trPr>
        <w:tc>
          <w:tcPr>
            <w:tcW w:type="dxa" w:w="1152"/>
            <w:tcMar>
              <w:top w:w="120" w:type="dxa"/>
              <w:bottom w:w="120" w:type="dxa"/>
              <w:left w:w="140" w:type="dxa"/>
              <w:right w:w="140" w:type="dxa"/>
            </w:tcMar>
            <w:shd w:fill="FFFFFF"/>
          </w:tcPr>
          <w:p>
            <w:pPr>
              <w:spacing w:before="40" w:after="40"/>
            </w:pPr>
            <w:r>
              <w:rPr>
                <w:rFonts w:ascii="Times New Roman" w:hAnsi="Times New Roman"/>
                <w:color w:val="1E293B"/>
                <w:sz w:val="19"/>
              </w:rPr>
              <w:t>TC-04</w:t>
            </w:r>
          </w:p>
        </w:tc>
        <w:tc>
          <w:tcPr>
            <w:tcW w:type="dxa" w:w="2016"/>
            <w:tcMar>
              <w:top w:w="120" w:type="dxa"/>
              <w:bottom w:w="120" w:type="dxa"/>
              <w:left w:w="140" w:type="dxa"/>
              <w:right w:w="140" w:type="dxa"/>
            </w:tcMar>
            <w:shd w:fill="FFFFFF"/>
          </w:tcPr>
          <w:p>
            <w:pPr>
              <w:spacing w:before="40" w:after="40"/>
            </w:pPr>
            <w:r>
              <w:rPr>
                <w:rFonts w:ascii="Times New Roman" w:hAnsi="Times New Roman"/>
                <w:color w:val="1E293B"/>
                <w:sz w:val="19"/>
              </w:rPr>
              <w:t>Review Status Transition</w:t>
            </w:r>
          </w:p>
        </w:tc>
        <w:tc>
          <w:tcPr>
            <w:tcW w:type="dxa" w:w="1872"/>
            <w:tcMar>
              <w:top w:w="120" w:type="dxa"/>
              <w:bottom w:w="120" w:type="dxa"/>
              <w:left w:w="140" w:type="dxa"/>
              <w:right w:w="140" w:type="dxa"/>
            </w:tcMar>
            <w:shd w:fill="FFFFFF"/>
          </w:tcPr>
          <w:p>
            <w:pPr>
              <w:spacing w:before="40" w:after="40"/>
            </w:pPr>
            <w:r>
              <w:rPr>
                <w:rFonts w:ascii="Times New Roman" w:hAnsi="Times New Roman"/>
                <w:color w:val="1E293B"/>
                <w:sz w:val="19"/>
              </w:rPr>
              <w:t>Click 'Confirm Coverage Gap'</w:t>
            </w:r>
          </w:p>
        </w:tc>
        <w:tc>
          <w:tcPr>
            <w:tcW w:type="dxa" w:w="1872"/>
            <w:tcMar>
              <w:top w:w="120" w:type="dxa"/>
              <w:bottom w:w="120" w:type="dxa"/>
              <w:left w:w="140" w:type="dxa"/>
              <w:right w:w="140" w:type="dxa"/>
            </w:tcMar>
            <w:shd w:fill="FFFFFF"/>
          </w:tcPr>
          <w:p>
            <w:pPr>
              <w:spacing w:before="40" w:after="40"/>
            </w:pPr>
            <w:r>
              <w:rPr>
                <w:rFonts w:ascii="Times New Roman" w:hAnsi="Times New Roman"/>
                <w:color w:val="1E293B"/>
                <w:sz w:val="19"/>
              </w:rPr>
              <w:t>Update status to CONFIRMED_GAP &amp; log audit</w:t>
            </w:r>
          </w:p>
        </w:tc>
        <w:tc>
          <w:tcPr>
            <w:tcW w:type="dxa" w:w="1008"/>
            <w:tcMar>
              <w:top w:w="120" w:type="dxa"/>
              <w:bottom w:w="120" w:type="dxa"/>
              <w:left w:w="140" w:type="dxa"/>
              <w:right w:w="140" w:type="dxa"/>
            </w:tcMar>
            <w:shd w:fill="FFFFFF"/>
          </w:tcPr>
          <w:p>
            <w:pPr>
              <w:spacing w:before="40" w:after="40"/>
            </w:pPr>
            <w:r>
              <w:rPr>
                <w:rFonts w:ascii="Times New Roman" w:hAnsi="Times New Roman"/>
                <w:color w:val="1E293B"/>
                <w:sz w:val="19"/>
              </w:rPr>
              <w:t>PASS</w:t>
            </w:r>
          </w:p>
        </w:tc>
        <w:tc>
          <w:tcPr>
            <w:tcW w:type="dxa" w:w="1296"/>
            <w:tcMar>
              <w:top w:w="120" w:type="dxa"/>
              <w:bottom w:w="120" w:type="dxa"/>
              <w:left w:w="140" w:type="dxa"/>
              <w:right w:w="140" w:type="dxa"/>
            </w:tcMar>
            <w:shd w:fill="FFFFFF"/>
          </w:tcPr>
          <w:p>
            <w:pPr>
              <w:spacing w:before="40" w:after="40"/>
            </w:pPr>
            <w:r>
              <w:rPr>
                <w:rFonts w:ascii="Times New Roman" w:hAnsi="Times New Roman"/>
                <w:color w:val="1E293B"/>
                <w:sz w:val="19"/>
              </w:rPr>
              <w:t>LocalStorage verified</w:t>
            </w:r>
          </w:p>
        </w:tc>
      </w:tr>
      <w:tr>
        <w:trPr>
          <w:cantSplit/>
        </w:trPr>
        <w:tc>
          <w:tcPr>
            <w:tcW w:type="dxa" w:w="1152"/>
            <w:tcMar>
              <w:top w:w="120" w:type="dxa"/>
              <w:bottom w:w="120" w:type="dxa"/>
              <w:left w:w="140" w:type="dxa"/>
              <w:right w:w="140" w:type="dxa"/>
            </w:tcMar>
            <w:shd w:fill="F8FAFC"/>
          </w:tcPr>
          <w:p>
            <w:pPr>
              <w:spacing w:before="40" w:after="40"/>
            </w:pPr>
            <w:r>
              <w:rPr>
                <w:rFonts w:ascii="Times New Roman" w:hAnsi="Times New Roman"/>
                <w:color w:val="1E293B"/>
                <w:sz w:val="19"/>
              </w:rPr>
              <w:t>TC-05</w:t>
            </w:r>
          </w:p>
        </w:tc>
        <w:tc>
          <w:tcPr>
            <w:tcW w:type="dxa" w:w="2016"/>
            <w:tcMar>
              <w:top w:w="120" w:type="dxa"/>
              <w:bottom w:w="120" w:type="dxa"/>
              <w:left w:w="140" w:type="dxa"/>
              <w:right w:w="140" w:type="dxa"/>
            </w:tcMar>
            <w:shd w:fill="F8FAFC"/>
          </w:tcPr>
          <w:p>
            <w:pPr>
              <w:spacing w:before="40" w:after="40"/>
            </w:pPr>
            <w:r>
              <w:rPr>
                <w:rFonts w:ascii="Times New Roman" w:hAnsi="Times New Roman"/>
                <w:color w:val="1E293B"/>
                <w:sz w:val="19"/>
              </w:rPr>
              <w:t>Audit Note Persistence</w:t>
            </w:r>
          </w:p>
        </w:tc>
        <w:tc>
          <w:tcPr>
            <w:tcW w:type="dxa" w:w="1872"/>
            <w:tcMar>
              <w:top w:w="120" w:type="dxa"/>
              <w:bottom w:w="120" w:type="dxa"/>
              <w:left w:w="140" w:type="dxa"/>
              <w:right w:w="140" w:type="dxa"/>
            </w:tcMar>
            <w:shd w:fill="F8FAFC"/>
          </w:tcPr>
          <w:p>
            <w:pPr>
              <w:spacing w:before="40" w:after="40"/>
            </w:pPr>
            <w:r>
              <w:rPr>
                <w:rFonts w:ascii="Times New Roman" w:hAnsi="Times New Roman"/>
                <w:color w:val="1E293B"/>
                <w:sz w:val="19"/>
              </w:rPr>
              <w:t>Underwriter enters audit notes</w:t>
            </w:r>
          </w:p>
        </w:tc>
        <w:tc>
          <w:tcPr>
            <w:tcW w:type="dxa" w:w="1872"/>
            <w:tcMar>
              <w:top w:w="120" w:type="dxa"/>
              <w:bottom w:w="120" w:type="dxa"/>
              <w:left w:w="140" w:type="dxa"/>
              <w:right w:w="140" w:type="dxa"/>
            </w:tcMar>
            <w:shd w:fill="F8FAFC"/>
          </w:tcPr>
          <w:p>
            <w:pPr>
              <w:spacing w:before="40" w:after="40"/>
            </w:pPr>
            <w:r>
              <w:rPr>
                <w:rFonts w:ascii="Times New Roman" w:hAnsi="Times New Roman"/>
                <w:color w:val="1E293B"/>
                <w:sz w:val="19"/>
              </w:rPr>
              <w:t>Notes persist across page refresh</w:t>
            </w:r>
          </w:p>
        </w:tc>
        <w:tc>
          <w:tcPr>
            <w:tcW w:type="dxa" w:w="1008"/>
            <w:tcMar>
              <w:top w:w="120" w:type="dxa"/>
              <w:bottom w:w="120" w:type="dxa"/>
              <w:left w:w="140" w:type="dxa"/>
              <w:right w:w="140" w:type="dxa"/>
            </w:tcMar>
            <w:shd w:fill="F8FAFC"/>
          </w:tcPr>
          <w:p>
            <w:pPr>
              <w:spacing w:before="40" w:after="40"/>
            </w:pPr>
            <w:r>
              <w:rPr>
                <w:rFonts w:ascii="Times New Roman" w:hAnsi="Times New Roman"/>
                <w:color w:val="1E293B"/>
                <w:sz w:val="19"/>
              </w:rPr>
              <w:t>PASS</w:t>
            </w:r>
          </w:p>
        </w:tc>
        <w:tc>
          <w:tcPr>
            <w:tcW w:type="dxa" w:w="1296"/>
            <w:tcMar>
              <w:top w:w="120" w:type="dxa"/>
              <w:bottom w:w="120" w:type="dxa"/>
              <w:left w:w="140" w:type="dxa"/>
              <w:right w:w="140" w:type="dxa"/>
            </w:tcMar>
            <w:shd w:fill="F8FAFC"/>
          </w:tcPr>
          <w:p>
            <w:pPr>
              <w:spacing w:before="40" w:after="40"/>
            </w:pPr>
            <w:r>
              <w:rPr>
                <w:rFonts w:ascii="Times New Roman" w:hAnsi="Times New Roman"/>
                <w:color w:val="1E293B"/>
                <w:sz w:val="19"/>
              </w:rPr>
              <w:t>Tested on Vercel deployment</w:t>
            </w:r>
          </w:p>
        </w:tc>
      </w:tr>
      <w:tr>
        <w:trPr>
          <w:cantSplit/>
        </w:trPr>
        <w:tc>
          <w:tcPr>
            <w:tcW w:type="dxa" w:w="1152"/>
            <w:tcMar>
              <w:top w:w="120" w:type="dxa"/>
              <w:bottom w:w="120" w:type="dxa"/>
              <w:left w:w="140" w:type="dxa"/>
              <w:right w:w="140" w:type="dxa"/>
            </w:tcMar>
            <w:shd w:fill="FFFFFF"/>
          </w:tcPr>
          <w:p>
            <w:pPr>
              <w:spacing w:before="40" w:after="40"/>
            </w:pPr>
            <w:r>
              <w:rPr>
                <w:rFonts w:ascii="Times New Roman" w:hAnsi="Times New Roman"/>
                <w:color w:val="1E293B"/>
                <w:sz w:val="19"/>
              </w:rPr>
              <w:t>TC-06</w:t>
            </w:r>
          </w:p>
        </w:tc>
        <w:tc>
          <w:tcPr>
            <w:tcW w:type="dxa" w:w="2016"/>
            <w:tcMar>
              <w:top w:w="120" w:type="dxa"/>
              <w:bottom w:w="120" w:type="dxa"/>
              <w:left w:w="140" w:type="dxa"/>
              <w:right w:w="140" w:type="dxa"/>
            </w:tcMar>
            <w:shd w:fill="FFFFFF"/>
          </w:tcPr>
          <w:p>
            <w:pPr>
              <w:spacing w:before="40" w:after="40"/>
            </w:pPr>
            <w:r>
              <w:rPr>
                <w:rFonts w:ascii="Times New Roman" w:hAnsi="Times New Roman"/>
                <w:color w:val="1E293B"/>
                <w:sz w:val="19"/>
              </w:rPr>
              <w:t>End-to-End Simulation</w:t>
            </w:r>
          </w:p>
        </w:tc>
        <w:tc>
          <w:tcPr>
            <w:tcW w:type="dxa" w:w="1872"/>
            <w:tcMar>
              <w:top w:w="120" w:type="dxa"/>
              <w:bottom w:w="120" w:type="dxa"/>
              <w:left w:w="140" w:type="dxa"/>
              <w:right w:w="140" w:type="dxa"/>
            </w:tcMar>
            <w:shd w:fill="FFFFFF"/>
          </w:tcPr>
          <w:p>
            <w:pPr>
              <w:spacing w:before="40" w:after="40"/>
            </w:pPr>
            <w:r>
              <w:rPr>
                <w:rFonts w:ascii="Times New Roman" w:hAnsi="Times New Roman"/>
                <w:color w:val="1E293B"/>
                <w:sz w:val="19"/>
              </w:rPr>
              <w:t>Click 'Run Reconciliation Demo'</w:t>
            </w:r>
          </w:p>
        </w:tc>
        <w:tc>
          <w:tcPr>
            <w:tcW w:type="dxa" w:w="1872"/>
            <w:tcMar>
              <w:top w:w="120" w:type="dxa"/>
              <w:bottom w:w="120" w:type="dxa"/>
              <w:left w:w="140" w:type="dxa"/>
              <w:right w:w="140" w:type="dxa"/>
            </w:tcMar>
            <w:shd w:fill="FFFFFF"/>
          </w:tcPr>
          <w:p>
            <w:pPr>
              <w:spacing w:before="40" w:after="40"/>
            </w:pPr>
            <w:r>
              <w:rPr>
                <w:rFonts w:ascii="Times New Roman" w:hAnsi="Times New Roman"/>
                <w:color w:val="1E293B"/>
                <w:sz w:val="19"/>
              </w:rPr>
              <w:t>Sequentially reveal 8 stages with terminal logs</w:t>
            </w:r>
          </w:p>
        </w:tc>
        <w:tc>
          <w:tcPr>
            <w:tcW w:type="dxa" w:w="1008"/>
            <w:tcMar>
              <w:top w:w="120" w:type="dxa"/>
              <w:bottom w:w="120" w:type="dxa"/>
              <w:left w:w="140" w:type="dxa"/>
              <w:right w:w="140" w:type="dxa"/>
            </w:tcMar>
            <w:shd w:fill="FFFFFF"/>
          </w:tcPr>
          <w:p>
            <w:pPr>
              <w:spacing w:before="40" w:after="40"/>
            </w:pPr>
            <w:r>
              <w:rPr>
                <w:rFonts w:ascii="Times New Roman" w:hAnsi="Times New Roman"/>
                <w:color w:val="1E293B"/>
                <w:sz w:val="19"/>
              </w:rPr>
              <w:t>PASS</w:t>
            </w:r>
          </w:p>
        </w:tc>
        <w:tc>
          <w:tcPr>
            <w:tcW w:type="dxa" w:w="1296"/>
            <w:tcMar>
              <w:top w:w="120" w:type="dxa"/>
              <w:bottom w:w="120" w:type="dxa"/>
              <w:left w:w="140" w:type="dxa"/>
              <w:right w:w="140" w:type="dxa"/>
            </w:tcMar>
            <w:shd w:fill="FFFFFF"/>
          </w:tcPr>
          <w:p>
            <w:pPr>
              <w:spacing w:before="40" w:after="40"/>
            </w:pPr>
            <w:r>
              <w:rPr>
                <w:rFonts w:ascii="Times New Roman" w:hAnsi="Times New Roman"/>
                <w:color w:val="1E293B"/>
                <w:sz w:val="19"/>
              </w:rPr>
              <w:t>Animation completed in 2.4s</w:t>
            </w:r>
          </w:p>
        </w:tc>
      </w:tr>
      <w:tr>
        <w:trPr>
          <w:cantSplit/>
        </w:trPr>
        <w:tc>
          <w:tcPr>
            <w:tcW w:type="dxa" w:w="1152"/>
            <w:tcMar>
              <w:top w:w="120" w:type="dxa"/>
              <w:bottom w:w="120" w:type="dxa"/>
              <w:left w:w="140" w:type="dxa"/>
              <w:right w:w="140" w:type="dxa"/>
            </w:tcMar>
            <w:shd w:fill="F8FAFC"/>
          </w:tcPr>
          <w:p>
            <w:pPr>
              <w:spacing w:before="40" w:after="40"/>
            </w:pPr>
            <w:r>
              <w:rPr>
                <w:rFonts w:ascii="Times New Roman" w:hAnsi="Times New Roman"/>
                <w:color w:val="1E293B"/>
                <w:sz w:val="19"/>
              </w:rPr>
              <w:t>TC-07</w:t>
            </w:r>
          </w:p>
        </w:tc>
        <w:tc>
          <w:tcPr>
            <w:tcW w:type="dxa" w:w="2016"/>
            <w:tcMar>
              <w:top w:w="120" w:type="dxa"/>
              <w:bottom w:w="120" w:type="dxa"/>
              <w:left w:w="140" w:type="dxa"/>
              <w:right w:w="140" w:type="dxa"/>
            </w:tcMar>
            <w:shd w:fill="F8FAFC"/>
          </w:tcPr>
          <w:p>
            <w:pPr>
              <w:spacing w:before="40" w:after="40"/>
            </w:pPr>
            <w:r>
              <w:rPr>
                <w:rFonts w:ascii="Times New Roman" w:hAnsi="Times New Roman"/>
                <w:color w:val="1E293B"/>
                <w:sz w:val="19"/>
              </w:rPr>
              <w:t>Document Drag-and-Drop</w:t>
            </w:r>
          </w:p>
        </w:tc>
        <w:tc>
          <w:tcPr>
            <w:tcW w:type="dxa" w:w="1872"/>
            <w:tcMar>
              <w:top w:w="120" w:type="dxa"/>
              <w:bottom w:w="120" w:type="dxa"/>
              <w:left w:w="140" w:type="dxa"/>
              <w:right w:w="140" w:type="dxa"/>
            </w:tcMar>
            <w:shd w:fill="F8FAFC"/>
          </w:tcPr>
          <w:p>
            <w:pPr>
              <w:spacing w:before="40" w:after="40"/>
            </w:pPr>
            <w:r>
              <w:rPr>
                <w:rFonts w:ascii="Times New Roman" w:hAnsi="Times New Roman"/>
                <w:color w:val="1E293B"/>
                <w:sz w:val="19"/>
              </w:rPr>
              <w:t>Upload sample policy PDF</w:t>
            </w:r>
          </w:p>
        </w:tc>
        <w:tc>
          <w:tcPr>
            <w:tcW w:type="dxa" w:w="1872"/>
            <w:tcMar>
              <w:top w:w="120" w:type="dxa"/>
              <w:bottom w:w="120" w:type="dxa"/>
              <w:left w:w="140" w:type="dxa"/>
              <w:right w:w="140" w:type="dxa"/>
            </w:tcMar>
            <w:shd w:fill="F8FAFC"/>
          </w:tcPr>
          <w:p>
            <w:pPr>
              <w:spacing w:before="40" w:after="40"/>
            </w:pPr>
            <w:r>
              <w:rPr>
                <w:rFonts w:ascii="Times New Roman" w:hAnsi="Times New Roman"/>
                <w:color w:val="1E293B"/>
                <w:sz w:val="19"/>
              </w:rPr>
              <w:t>Simulate progress and display in repository</w:t>
            </w:r>
          </w:p>
        </w:tc>
        <w:tc>
          <w:tcPr>
            <w:tcW w:type="dxa" w:w="1008"/>
            <w:tcMar>
              <w:top w:w="120" w:type="dxa"/>
              <w:bottom w:w="120" w:type="dxa"/>
              <w:left w:w="140" w:type="dxa"/>
              <w:right w:w="140" w:type="dxa"/>
            </w:tcMar>
            <w:shd w:fill="F8FAFC"/>
          </w:tcPr>
          <w:p>
            <w:pPr>
              <w:spacing w:before="40" w:after="40"/>
            </w:pPr>
            <w:r>
              <w:rPr>
                <w:rFonts w:ascii="Times New Roman" w:hAnsi="Times New Roman"/>
                <w:color w:val="1E293B"/>
                <w:sz w:val="19"/>
              </w:rPr>
              <w:t>PASS</w:t>
            </w:r>
          </w:p>
        </w:tc>
        <w:tc>
          <w:tcPr>
            <w:tcW w:type="dxa" w:w="1296"/>
            <w:tcMar>
              <w:top w:w="120" w:type="dxa"/>
              <w:bottom w:w="120" w:type="dxa"/>
              <w:left w:w="140" w:type="dxa"/>
              <w:right w:w="140" w:type="dxa"/>
            </w:tcMar>
            <w:shd w:fill="F8FAFC"/>
          </w:tcPr>
          <w:p>
            <w:pPr>
              <w:spacing w:before="40" w:after="40"/>
            </w:pPr>
            <w:r>
              <w:rPr>
                <w:rFonts w:ascii="Times New Roman" w:hAnsi="Times New Roman"/>
                <w:color w:val="1E293B"/>
                <w:sz w:val="19"/>
              </w:rPr>
              <w:t>Explicitly marked demo</w:t>
            </w:r>
          </w:p>
        </w:tc>
      </w:tr>
      <w:tr>
        <w:trPr>
          <w:cantSplit/>
        </w:trPr>
        <w:tc>
          <w:tcPr>
            <w:tcW w:type="dxa" w:w="1152"/>
            <w:tcMar>
              <w:top w:w="120" w:type="dxa"/>
              <w:bottom w:w="120" w:type="dxa"/>
              <w:left w:w="140" w:type="dxa"/>
              <w:right w:w="140" w:type="dxa"/>
            </w:tcMar>
            <w:shd w:fill="FFFFFF"/>
          </w:tcPr>
          <w:p>
            <w:pPr>
              <w:spacing w:before="40" w:after="40"/>
            </w:pPr>
            <w:r>
              <w:rPr>
                <w:rFonts w:ascii="Times New Roman" w:hAnsi="Times New Roman"/>
                <w:color w:val="1E293B"/>
                <w:sz w:val="19"/>
              </w:rPr>
              <w:t>TC-08</w:t>
            </w:r>
          </w:p>
        </w:tc>
        <w:tc>
          <w:tcPr>
            <w:tcW w:type="dxa" w:w="2016"/>
            <w:tcMar>
              <w:top w:w="120" w:type="dxa"/>
              <w:bottom w:w="120" w:type="dxa"/>
              <w:left w:w="140" w:type="dxa"/>
              <w:right w:w="140" w:type="dxa"/>
            </w:tcMar>
            <w:shd w:fill="FFFFFF"/>
          </w:tcPr>
          <w:p>
            <w:pPr>
              <w:spacing w:before="40" w:after="40"/>
            </w:pPr>
            <w:r>
              <w:rPr>
                <w:rFonts w:ascii="Times New Roman" w:hAnsi="Times New Roman"/>
                <w:color w:val="1E293B"/>
                <w:sz w:val="19"/>
              </w:rPr>
              <w:t>Mobile Responsiveness</w:t>
            </w:r>
          </w:p>
        </w:tc>
        <w:tc>
          <w:tcPr>
            <w:tcW w:type="dxa" w:w="1872"/>
            <w:tcMar>
              <w:top w:w="120" w:type="dxa"/>
              <w:bottom w:w="120" w:type="dxa"/>
              <w:left w:w="140" w:type="dxa"/>
              <w:right w:w="140" w:type="dxa"/>
            </w:tcMar>
            <w:shd w:fill="FFFFFF"/>
          </w:tcPr>
          <w:p>
            <w:pPr>
              <w:spacing w:before="40" w:after="40"/>
            </w:pPr>
            <w:r>
              <w:rPr>
                <w:rFonts w:ascii="Times New Roman" w:hAnsi="Times New Roman"/>
                <w:color w:val="1E293B"/>
                <w:sz w:val="19"/>
              </w:rPr>
              <w:t>Viewport width 375px (Mobile)</w:t>
            </w:r>
          </w:p>
        </w:tc>
        <w:tc>
          <w:tcPr>
            <w:tcW w:type="dxa" w:w="1872"/>
            <w:tcMar>
              <w:top w:w="120" w:type="dxa"/>
              <w:bottom w:w="120" w:type="dxa"/>
              <w:left w:w="140" w:type="dxa"/>
              <w:right w:w="140" w:type="dxa"/>
            </w:tcMar>
            <w:shd w:fill="FFFFFF"/>
          </w:tcPr>
          <w:p>
            <w:pPr>
              <w:spacing w:before="40" w:after="40"/>
            </w:pPr>
            <w:r>
              <w:rPr>
                <w:rFonts w:ascii="Times New Roman" w:hAnsi="Times New Roman"/>
                <w:color w:val="1E293B"/>
                <w:sz w:val="19"/>
              </w:rPr>
              <w:t>Drawer navigation and stack layouts activate</w:t>
            </w:r>
          </w:p>
        </w:tc>
        <w:tc>
          <w:tcPr>
            <w:tcW w:type="dxa" w:w="1008"/>
            <w:tcMar>
              <w:top w:w="120" w:type="dxa"/>
              <w:bottom w:w="120" w:type="dxa"/>
              <w:left w:w="140" w:type="dxa"/>
              <w:right w:w="140" w:type="dxa"/>
            </w:tcMar>
            <w:shd w:fill="FFFFFF"/>
          </w:tcPr>
          <w:p>
            <w:pPr>
              <w:spacing w:before="40" w:after="40"/>
            </w:pPr>
            <w:r>
              <w:rPr>
                <w:rFonts w:ascii="Times New Roman" w:hAnsi="Times New Roman"/>
                <w:color w:val="1E293B"/>
                <w:sz w:val="19"/>
              </w:rPr>
              <w:t>PASS</w:t>
            </w:r>
          </w:p>
        </w:tc>
        <w:tc>
          <w:tcPr>
            <w:tcW w:type="dxa" w:w="1296"/>
            <w:tcMar>
              <w:top w:w="120" w:type="dxa"/>
              <w:bottom w:w="120" w:type="dxa"/>
              <w:left w:w="140" w:type="dxa"/>
              <w:right w:w="140" w:type="dxa"/>
            </w:tcMar>
            <w:shd w:fill="FFFFFF"/>
          </w:tcPr>
          <w:p>
            <w:pPr>
              <w:spacing w:before="40" w:after="40"/>
            </w:pPr>
            <w:r>
              <w:rPr>
                <w:rFonts w:ascii="Times New Roman" w:hAnsi="Times New Roman"/>
                <w:color w:val="1E293B"/>
                <w:sz w:val="19"/>
              </w:rPr>
              <w:t>Tested on mobile Safari/Chrome</w:t>
            </w:r>
          </w:p>
        </w:tc>
      </w:tr>
    </w:tbl>
    <w:p>
      <w:pPr>
        <w:spacing w:line="312" w:lineRule="auto" w:after="240"/>
        <w:jc w:val="both"/>
      </w:pPr>
      <w:r>
        <w:rPr>
          <w:rFonts w:ascii="Times New Roman" w:hAnsi="Times New Roman"/>
          <w:color w:val="1E293B"/>
          <w:sz w:val="23"/>
        </w:rPr>
        <w:t>Table 5.1: Comprehensive System Test Case Execution Ledger.</w:t>
      </w:r>
    </w:p>
    <w:p>
      <w:pPr>
        <w:pStyle w:val="Heading2"/>
        <w:keepNext/>
        <w:spacing w:before="280" w:after="120"/>
      </w:pPr>
      <w:r>
        <w:rPr>
          <w:rFonts w:ascii="Times New Roman" w:hAnsi="Times New Roman"/>
          <w:b/>
          <w:color w:val="0F172A"/>
          <w:sz w:val="27"/>
        </w:rPr>
        <w:t>5.2 Performance Metrics and Pilot Evaluation Protocol</w:t>
      </w:r>
    </w:p>
    <w:p>
      <w:pPr>
        <w:spacing w:line="312" w:lineRule="auto" w:after="120"/>
        <w:jc w:val="both"/>
      </w:pPr>
      <w:r>
        <w:rPr>
          <w:rFonts w:ascii="Times New Roman" w:hAnsi="Times New Roman"/>
          <w:color w:val="1E293B"/>
          <w:sz w:val="23"/>
        </w:rPr>
        <w:t>In accordance with academic integrity, synthetic accuracy claims are avoided. Instead, a standardized evaluation protocol is formulated for future commercial carrier pilots across six objective dimensions (Table 5.2).</w:t>
      </w:r>
    </w:p>
    <w:tbl>
      <w:tblPr>
        <w:tblW w:type="auto" w:w="0"/>
        <w:jc w:val="center"/>
        <w:tblLook w:firstColumn="1" w:firstRow="1" w:lastColumn="0" w:lastRow="0" w:noHBand="0" w:noVBand="1" w:val="04A0"/>
      </w:tblPr>
      <w:tblGrid>
        <w:gridCol w:w="2257"/>
        <w:gridCol w:w="2257"/>
        <w:gridCol w:w="2257"/>
        <w:gridCol w:w="2257"/>
      </w:tblGrid>
      <w:tr>
        <w:trPr>
          <w:cantSplit/>
          <w:tblHeader/>
        </w:trPr>
        <w:tc>
          <w:tcPr>
            <w:tcW w:type="dxa" w:w="2592"/>
            <w:tcMar>
              <w:top w:w="120" w:type="dxa"/>
              <w:bottom w:w="120" w:type="dxa"/>
              <w:left w:w="140" w:type="dxa"/>
              <w:right w:w="140" w:type="dxa"/>
            </w:tcMar>
            <w:shd w:fill="1E293B"/>
          </w:tcPr>
          <w:p>
            <w:pPr>
              <w:spacing w:before="40" w:after="40"/>
              <w:jc w:val="center"/>
            </w:pPr>
            <w:r>
              <w:rPr>
                <w:rFonts w:ascii="Times New Roman" w:hAnsi="Times New Roman"/>
                <w:b/>
                <w:color w:val="FFFFFF"/>
                <w:sz w:val="20"/>
              </w:rPr>
              <w:t>Metric</w:t>
            </w:r>
          </w:p>
        </w:tc>
        <w:tc>
          <w:tcPr>
            <w:tcW w:type="dxa" w:w="1728"/>
            <w:tcMar>
              <w:top w:w="120" w:type="dxa"/>
              <w:bottom w:w="120" w:type="dxa"/>
              <w:left w:w="140" w:type="dxa"/>
              <w:right w:w="140" w:type="dxa"/>
            </w:tcMar>
            <w:shd w:fill="1E293B"/>
          </w:tcPr>
          <w:p>
            <w:pPr>
              <w:spacing w:before="40" w:after="40"/>
              <w:jc w:val="center"/>
            </w:pPr>
            <w:r>
              <w:rPr>
                <w:rFonts w:ascii="Times New Roman" w:hAnsi="Times New Roman"/>
                <w:b/>
                <w:color w:val="FFFFFF"/>
                <w:sz w:val="20"/>
              </w:rPr>
              <w:t>Target Benchmark</w:t>
            </w:r>
          </w:p>
        </w:tc>
        <w:tc>
          <w:tcPr>
            <w:tcW w:type="dxa" w:w="2592"/>
            <w:tcMar>
              <w:top w:w="120" w:type="dxa"/>
              <w:bottom w:w="120" w:type="dxa"/>
              <w:left w:w="140" w:type="dxa"/>
              <w:right w:w="140" w:type="dxa"/>
            </w:tcMar>
            <w:shd w:fill="1E293B"/>
          </w:tcPr>
          <w:p>
            <w:pPr>
              <w:spacing w:before="40" w:after="40"/>
              <w:jc w:val="center"/>
            </w:pPr>
            <w:r>
              <w:rPr>
                <w:rFonts w:ascii="Times New Roman" w:hAnsi="Times New Roman"/>
                <w:b/>
                <w:color w:val="FFFFFF"/>
                <w:sz w:val="20"/>
              </w:rPr>
              <w:t>Evaluation Methodology</w:t>
            </w:r>
          </w:p>
        </w:tc>
        <w:tc>
          <w:tcPr>
            <w:tcW w:type="dxa" w:w="2304"/>
            <w:tcMar>
              <w:top w:w="120" w:type="dxa"/>
              <w:bottom w:w="120" w:type="dxa"/>
              <w:left w:w="140" w:type="dxa"/>
              <w:right w:w="140" w:type="dxa"/>
            </w:tcMar>
            <w:shd w:fill="1E293B"/>
          </w:tcPr>
          <w:p>
            <w:pPr>
              <w:spacing w:before="40" w:after="40"/>
              <w:jc w:val="center"/>
            </w:pPr>
            <w:r>
              <w:rPr>
                <w:rFonts w:ascii="Times New Roman" w:hAnsi="Times New Roman"/>
                <w:b/>
                <w:color w:val="FFFFFF"/>
                <w:sz w:val="20"/>
              </w:rPr>
              <w:t>Business Impact</w:t>
            </w:r>
          </w:p>
        </w:tc>
      </w:tr>
      <w:tr>
        <w:trPr>
          <w:cantSplit/>
        </w:trPr>
        <w:tc>
          <w:tcPr>
            <w:tcW w:type="dxa" w:w="2592"/>
            <w:tcMar>
              <w:top w:w="120" w:type="dxa"/>
              <w:bottom w:w="120" w:type="dxa"/>
              <w:left w:w="140" w:type="dxa"/>
              <w:right w:w="140" w:type="dxa"/>
            </w:tcMar>
            <w:shd w:fill="F8FAFC"/>
          </w:tcPr>
          <w:p>
            <w:pPr>
              <w:spacing w:before="40" w:after="40"/>
            </w:pPr>
            <w:r>
              <w:rPr>
                <w:rFonts w:ascii="Times New Roman" w:hAnsi="Times New Roman"/>
                <w:color w:val="1E293B"/>
                <w:sz w:val="19"/>
              </w:rPr>
              <w:t>Detection Precision &amp; Recall</w:t>
            </w:r>
          </w:p>
        </w:tc>
        <w:tc>
          <w:tcPr>
            <w:tcW w:type="dxa" w:w="1728"/>
            <w:tcMar>
              <w:top w:w="120" w:type="dxa"/>
              <w:bottom w:w="120" w:type="dxa"/>
              <w:left w:w="140" w:type="dxa"/>
              <w:right w:w="140" w:type="dxa"/>
            </w:tcMar>
            <w:shd w:fill="F8FAFC"/>
          </w:tcPr>
          <w:p>
            <w:pPr>
              <w:spacing w:before="40" w:after="40"/>
            </w:pPr>
            <w:r>
              <w:rPr>
                <w:rFonts w:ascii="Times New Roman" w:hAnsi="Times New Roman"/>
                <w:color w:val="1E293B"/>
                <w:sz w:val="19"/>
              </w:rPr>
              <w:t>&gt;= 96%</w:t>
            </w:r>
          </w:p>
        </w:tc>
        <w:tc>
          <w:tcPr>
            <w:tcW w:type="dxa" w:w="2592"/>
            <w:tcMar>
              <w:top w:w="120" w:type="dxa"/>
              <w:bottom w:w="120" w:type="dxa"/>
              <w:left w:w="140" w:type="dxa"/>
              <w:right w:w="140" w:type="dxa"/>
            </w:tcMar>
            <w:shd w:fill="F8FAFC"/>
          </w:tcPr>
          <w:p>
            <w:pPr>
              <w:spacing w:before="40" w:after="40"/>
            </w:pPr>
            <w:r>
              <w:rPr>
                <w:rFonts w:ascii="Times New Roman" w:hAnsi="Times New Roman"/>
                <w:color w:val="1E293B"/>
                <w:sz w:val="19"/>
              </w:rPr>
              <w:t>Benchmarked against senior coverage counsel gold-standard audits.</w:t>
            </w:r>
          </w:p>
        </w:tc>
        <w:tc>
          <w:tcPr>
            <w:tcW w:type="dxa" w:w="2304"/>
            <w:tcMar>
              <w:top w:w="120" w:type="dxa"/>
              <w:bottom w:w="120" w:type="dxa"/>
              <w:left w:w="140" w:type="dxa"/>
              <w:right w:w="140" w:type="dxa"/>
            </w:tcMar>
            <w:shd w:fill="F8FAFC"/>
          </w:tcPr>
          <w:p>
            <w:pPr>
              <w:spacing w:before="40" w:after="40"/>
            </w:pPr>
            <w:r>
              <w:rPr>
                <w:rFonts w:ascii="Times New Roman" w:hAnsi="Times New Roman"/>
                <w:color w:val="1E293B"/>
                <w:sz w:val="19"/>
              </w:rPr>
              <w:t>Prevents silent unhedged claims.</w:t>
            </w:r>
          </w:p>
        </w:tc>
      </w:tr>
      <w:tr>
        <w:trPr>
          <w:cantSplit/>
        </w:trPr>
        <w:tc>
          <w:tcPr>
            <w:tcW w:type="dxa" w:w="2592"/>
            <w:tcMar>
              <w:top w:w="120" w:type="dxa"/>
              <w:bottom w:w="120" w:type="dxa"/>
              <w:left w:w="140" w:type="dxa"/>
              <w:right w:w="140" w:type="dxa"/>
            </w:tcMar>
            <w:shd w:fill="FFFFFF"/>
          </w:tcPr>
          <w:p>
            <w:pPr>
              <w:spacing w:before="40" w:after="40"/>
            </w:pPr>
            <w:r>
              <w:rPr>
                <w:rFonts w:ascii="Times New Roman" w:hAnsi="Times New Roman"/>
                <w:color w:val="1E293B"/>
                <w:sz w:val="19"/>
              </w:rPr>
              <w:t>False Positive Containment</w:t>
            </w:r>
          </w:p>
        </w:tc>
        <w:tc>
          <w:tcPr>
            <w:tcW w:type="dxa" w:w="1728"/>
            <w:tcMar>
              <w:top w:w="120" w:type="dxa"/>
              <w:bottom w:w="120" w:type="dxa"/>
              <w:left w:w="140" w:type="dxa"/>
              <w:right w:w="140" w:type="dxa"/>
            </w:tcMar>
            <w:shd w:fill="FFFFFF"/>
          </w:tcPr>
          <w:p>
            <w:pPr>
              <w:spacing w:before="40" w:after="40"/>
            </w:pPr>
            <w:r>
              <w:rPr>
                <w:rFonts w:ascii="Times New Roman" w:hAnsi="Times New Roman"/>
                <w:color w:val="1E293B"/>
                <w:sz w:val="19"/>
              </w:rPr>
              <w:t>&lt; 5%</w:t>
            </w:r>
          </w:p>
        </w:tc>
        <w:tc>
          <w:tcPr>
            <w:tcW w:type="dxa" w:w="2592"/>
            <w:tcMar>
              <w:top w:w="120" w:type="dxa"/>
              <w:bottom w:w="120" w:type="dxa"/>
              <w:left w:w="140" w:type="dxa"/>
              <w:right w:w="140" w:type="dxa"/>
            </w:tcMar>
            <w:shd w:fill="FFFFFF"/>
          </w:tcPr>
          <w:p>
            <w:pPr>
              <w:spacing w:before="40" w:after="40"/>
            </w:pPr>
            <w:r>
              <w:rPr>
                <w:rFonts w:ascii="Times New Roman" w:hAnsi="Times New Roman"/>
                <w:color w:val="1E293B"/>
                <w:sz w:val="19"/>
              </w:rPr>
              <w:t>Rate of false contradiction alarms on standard ISO wording.</w:t>
            </w:r>
          </w:p>
        </w:tc>
        <w:tc>
          <w:tcPr>
            <w:tcW w:type="dxa" w:w="2304"/>
            <w:tcMar>
              <w:top w:w="120" w:type="dxa"/>
              <w:bottom w:w="120" w:type="dxa"/>
              <w:left w:w="140" w:type="dxa"/>
              <w:right w:w="140" w:type="dxa"/>
            </w:tcMar>
            <w:shd w:fill="FFFFFF"/>
          </w:tcPr>
          <w:p>
            <w:pPr>
              <w:spacing w:before="40" w:after="40"/>
            </w:pPr>
            <w:r>
              <w:rPr>
                <w:rFonts w:ascii="Times New Roman" w:hAnsi="Times New Roman"/>
                <w:color w:val="1E293B"/>
                <w:sz w:val="19"/>
              </w:rPr>
              <w:t>Mitigates underwriter fatigue.</w:t>
            </w:r>
          </w:p>
        </w:tc>
      </w:tr>
      <w:tr>
        <w:trPr>
          <w:cantSplit/>
        </w:trPr>
        <w:tc>
          <w:tcPr>
            <w:tcW w:type="dxa" w:w="2592"/>
            <w:tcMar>
              <w:top w:w="120" w:type="dxa"/>
              <w:bottom w:w="120" w:type="dxa"/>
              <w:left w:w="140" w:type="dxa"/>
              <w:right w:w="140" w:type="dxa"/>
            </w:tcMar>
            <w:shd w:fill="F8FAFC"/>
          </w:tcPr>
          <w:p>
            <w:pPr>
              <w:spacing w:before="40" w:after="40"/>
            </w:pPr>
            <w:r>
              <w:rPr>
                <w:rFonts w:ascii="Times New Roman" w:hAnsi="Times New Roman"/>
                <w:color w:val="1E293B"/>
                <w:sz w:val="19"/>
              </w:rPr>
              <w:t>Evidence Link Accuracy</w:t>
            </w:r>
          </w:p>
        </w:tc>
        <w:tc>
          <w:tcPr>
            <w:tcW w:type="dxa" w:w="1728"/>
            <w:tcMar>
              <w:top w:w="120" w:type="dxa"/>
              <w:bottom w:w="120" w:type="dxa"/>
              <w:left w:w="140" w:type="dxa"/>
              <w:right w:w="140" w:type="dxa"/>
            </w:tcMar>
            <w:shd w:fill="F8FAFC"/>
          </w:tcPr>
          <w:p>
            <w:pPr>
              <w:spacing w:before="40" w:after="40"/>
            </w:pPr>
            <w:r>
              <w:rPr>
                <w:rFonts w:ascii="Times New Roman" w:hAnsi="Times New Roman"/>
                <w:color w:val="1E293B"/>
                <w:sz w:val="19"/>
              </w:rPr>
              <w:t>100%</w:t>
            </w:r>
          </w:p>
        </w:tc>
        <w:tc>
          <w:tcPr>
            <w:tcW w:type="dxa" w:w="2592"/>
            <w:tcMar>
              <w:top w:w="120" w:type="dxa"/>
              <w:bottom w:w="120" w:type="dxa"/>
              <w:left w:w="140" w:type="dxa"/>
              <w:right w:w="140" w:type="dxa"/>
            </w:tcMar>
            <w:shd w:fill="F8FAFC"/>
          </w:tcPr>
          <w:p>
            <w:pPr>
              <w:spacing w:before="40" w:after="40"/>
            </w:pPr>
            <w:r>
              <w:rPr>
                <w:rFonts w:ascii="Times New Roman" w:hAnsi="Times New Roman"/>
                <w:color w:val="1E293B"/>
                <w:sz w:val="19"/>
              </w:rPr>
              <w:t>Percentage of findings anchored to exact page/paragraph coordinates.</w:t>
            </w:r>
          </w:p>
        </w:tc>
        <w:tc>
          <w:tcPr>
            <w:tcW w:type="dxa" w:w="2304"/>
            <w:tcMar>
              <w:top w:w="120" w:type="dxa"/>
              <w:bottom w:w="120" w:type="dxa"/>
              <w:left w:w="140" w:type="dxa"/>
              <w:right w:w="140" w:type="dxa"/>
            </w:tcMar>
            <w:shd w:fill="F8FAFC"/>
          </w:tcPr>
          <w:p>
            <w:pPr>
              <w:spacing w:before="40" w:after="40"/>
            </w:pPr>
            <w:r>
              <w:rPr>
                <w:rFonts w:ascii="Times New Roman" w:hAnsi="Times New Roman"/>
                <w:color w:val="1E293B"/>
                <w:sz w:val="19"/>
              </w:rPr>
              <w:t>Ensures legal auditability.</w:t>
            </w:r>
          </w:p>
        </w:tc>
      </w:tr>
      <w:tr>
        <w:trPr>
          <w:cantSplit/>
        </w:trPr>
        <w:tc>
          <w:tcPr>
            <w:tcW w:type="dxa" w:w="2592"/>
            <w:tcMar>
              <w:top w:w="120" w:type="dxa"/>
              <w:bottom w:w="120" w:type="dxa"/>
              <w:left w:w="140" w:type="dxa"/>
              <w:right w:w="140" w:type="dxa"/>
            </w:tcMar>
            <w:shd w:fill="FFFFFF"/>
          </w:tcPr>
          <w:p>
            <w:pPr>
              <w:spacing w:before="40" w:after="40"/>
            </w:pPr>
            <w:r>
              <w:rPr>
                <w:rFonts w:ascii="Times New Roman" w:hAnsi="Times New Roman"/>
                <w:color w:val="1E293B"/>
                <w:sz w:val="19"/>
              </w:rPr>
              <w:t>Underwriter Time-to-Bind</w:t>
            </w:r>
          </w:p>
        </w:tc>
        <w:tc>
          <w:tcPr>
            <w:tcW w:type="dxa" w:w="1728"/>
            <w:tcMar>
              <w:top w:w="120" w:type="dxa"/>
              <w:bottom w:w="120" w:type="dxa"/>
              <w:left w:w="140" w:type="dxa"/>
              <w:right w:w="140" w:type="dxa"/>
            </w:tcMar>
            <w:shd w:fill="FFFFFF"/>
          </w:tcPr>
          <w:p>
            <w:pPr>
              <w:spacing w:before="40" w:after="40"/>
            </w:pPr>
            <w:r>
              <w:rPr>
                <w:rFonts w:ascii="Times New Roman" w:hAnsi="Times New Roman"/>
                <w:color w:val="1E293B"/>
                <w:sz w:val="19"/>
              </w:rPr>
              <w:t>-70%</w:t>
            </w:r>
          </w:p>
        </w:tc>
        <w:tc>
          <w:tcPr>
            <w:tcW w:type="dxa" w:w="2592"/>
            <w:tcMar>
              <w:top w:w="120" w:type="dxa"/>
              <w:bottom w:w="120" w:type="dxa"/>
              <w:left w:w="140" w:type="dxa"/>
              <w:right w:w="140" w:type="dxa"/>
            </w:tcMar>
            <w:shd w:fill="FFFFFF"/>
          </w:tcPr>
          <w:p>
            <w:pPr>
              <w:spacing w:before="40" w:after="40"/>
            </w:pPr>
            <w:r>
              <w:rPr>
                <w:rFonts w:ascii="Times New Roman" w:hAnsi="Times New Roman"/>
                <w:color w:val="1E293B"/>
                <w:sz w:val="19"/>
              </w:rPr>
              <w:t>Reduction in manual contract checking hours (4 hrs -&gt; 45 mins).</w:t>
            </w:r>
          </w:p>
        </w:tc>
        <w:tc>
          <w:tcPr>
            <w:tcW w:type="dxa" w:w="2304"/>
            <w:tcMar>
              <w:top w:w="120" w:type="dxa"/>
              <w:bottom w:w="120" w:type="dxa"/>
              <w:left w:w="140" w:type="dxa"/>
              <w:right w:w="140" w:type="dxa"/>
            </w:tcMar>
            <w:shd w:fill="FFFFFF"/>
          </w:tcPr>
          <w:p>
            <w:pPr>
              <w:spacing w:before="40" w:after="40"/>
            </w:pPr>
            <w:r>
              <w:rPr>
                <w:rFonts w:ascii="Times New Roman" w:hAnsi="Times New Roman"/>
                <w:color w:val="1E293B"/>
                <w:sz w:val="19"/>
              </w:rPr>
              <w:t>Accelerates binding throughput.</w:t>
            </w:r>
          </w:p>
        </w:tc>
      </w:tr>
      <w:tr>
        <w:trPr>
          <w:cantSplit/>
        </w:trPr>
        <w:tc>
          <w:tcPr>
            <w:tcW w:type="dxa" w:w="2592"/>
            <w:tcMar>
              <w:top w:w="120" w:type="dxa"/>
              <w:bottom w:w="120" w:type="dxa"/>
              <w:left w:w="140" w:type="dxa"/>
              <w:right w:w="140" w:type="dxa"/>
            </w:tcMar>
            <w:shd w:fill="F8FAFC"/>
          </w:tcPr>
          <w:p>
            <w:pPr>
              <w:spacing w:before="40" w:after="40"/>
            </w:pPr>
            <w:r>
              <w:rPr>
                <w:rFonts w:ascii="Times New Roman" w:hAnsi="Times New Roman"/>
                <w:color w:val="1E293B"/>
                <w:sz w:val="19"/>
              </w:rPr>
              <w:t>Reviewer Agreement Rate</w:t>
            </w:r>
          </w:p>
        </w:tc>
        <w:tc>
          <w:tcPr>
            <w:tcW w:type="dxa" w:w="1728"/>
            <w:tcMar>
              <w:top w:w="120" w:type="dxa"/>
              <w:bottom w:w="120" w:type="dxa"/>
              <w:left w:w="140" w:type="dxa"/>
              <w:right w:w="140" w:type="dxa"/>
            </w:tcMar>
            <w:shd w:fill="F8FAFC"/>
          </w:tcPr>
          <w:p>
            <w:pPr>
              <w:spacing w:before="40" w:after="40"/>
            </w:pPr>
            <w:r>
              <w:rPr>
                <w:rFonts w:ascii="Times New Roman" w:hAnsi="Times New Roman"/>
                <w:color w:val="1E293B"/>
                <w:sz w:val="19"/>
              </w:rPr>
              <w:t>&gt;= 90%</w:t>
            </w:r>
          </w:p>
        </w:tc>
        <w:tc>
          <w:tcPr>
            <w:tcW w:type="dxa" w:w="2592"/>
            <w:tcMar>
              <w:top w:w="120" w:type="dxa"/>
              <w:bottom w:w="120" w:type="dxa"/>
              <w:left w:w="140" w:type="dxa"/>
              <w:right w:w="140" w:type="dxa"/>
            </w:tcMar>
            <w:shd w:fill="F8FAFC"/>
          </w:tcPr>
          <w:p>
            <w:pPr>
              <w:spacing w:before="40" w:after="40"/>
            </w:pPr>
            <w:r>
              <w:rPr>
                <w:rFonts w:ascii="Times New Roman" w:hAnsi="Times New Roman"/>
                <w:color w:val="1E293B"/>
                <w:sz w:val="19"/>
              </w:rPr>
              <w:t>Inter-annotator concordance between underwriters on actions.</w:t>
            </w:r>
          </w:p>
        </w:tc>
        <w:tc>
          <w:tcPr>
            <w:tcW w:type="dxa" w:w="2304"/>
            <w:tcMar>
              <w:top w:w="120" w:type="dxa"/>
              <w:bottom w:w="120" w:type="dxa"/>
              <w:left w:w="140" w:type="dxa"/>
              <w:right w:w="140" w:type="dxa"/>
            </w:tcMar>
            <w:shd w:fill="F8FAFC"/>
          </w:tcPr>
          <w:p>
            <w:pPr>
              <w:spacing w:before="40" w:after="40"/>
            </w:pPr>
            <w:r>
              <w:rPr>
                <w:rFonts w:ascii="Times New Roman" w:hAnsi="Times New Roman"/>
                <w:color w:val="1E293B"/>
                <w:sz w:val="19"/>
              </w:rPr>
              <w:t>Standardizes risk governance.</w:t>
            </w:r>
          </w:p>
        </w:tc>
      </w:tr>
      <w:tr>
        <w:trPr>
          <w:cantSplit/>
        </w:trPr>
        <w:tc>
          <w:tcPr>
            <w:tcW w:type="dxa" w:w="2592"/>
            <w:tcMar>
              <w:top w:w="120" w:type="dxa"/>
              <w:bottom w:w="120" w:type="dxa"/>
              <w:left w:w="140" w:type="dxa"/>
              <w:right w:w="140" w:type="dxa"/>
            </w:tcMar>
            <w:shd w:fill="FFFFFF"/>
          </w:tcPr>
          <w:p>
            <w:pPr>
              <w:spacing w:before="40" w:after="40"/>
            </w:pPr>
            <w:r>
              <w:rPr>
                <w:rFonts w:ascii="Times New Roman" w:hAnsi="Times New Roman"/>
                <w:color w:val="1E293B"/>
                <w:sz w:val="19"/>
              </w:rPr>
              <w:t>Audit Trail Completeness</w:t>
            </w:r>
          </w:p>
        </w:tc>
        <w:tc>
          <w:tcPr>
            <w:tcW w:type="dxa" w:w="1728"/>
            <w:tcMar>
              <w:top w:w="120" w:type="dxa"/>
              <w:bottom w:w="120" w:type="dxa"/>
              <w:left w:w="140" w:type="dxa"/>
              <w:right w:w="140" w:type="dxa"/>
            </w:tcMar>
            <w:shd w:fill="FFFFFF"/>
          </w:tcPr>
          <w:p>
            <w:pPr>
              <w:spacing w:before="40" w:after="40"/>
            </w:pPr>
            <w:r>
              <w:rPr>
                <w:rFonts w:ascii="Times New Roman" w:hAnsi="Times New Roman"/>
                <w:color w:val="1E293B"/>
                <w:sz w:val="19"/>
              </w:rPr>
              <w:t>100%</w:t>
            </w:r>
          </w:p>
        </w:tc>
        <w:tc>
          <w:tcPr>
            <w:tcW w:type="dxa" w:w="2592"/>
            <w:tcMar>
              <w:top w:w="120" w:type="dxa"/>
              <w:bottom w:w="120" w:type="dxa"/>
              <w:left w:w="140" w:type="dxa"/>
              <w:right w:w="140" w:type="dxa"/>
            </w:tcMar>
            <w:shd w:fill="FFFFFF"/>
          </w:tcPr>
          <w:p>
            <w:pPr>
              <w:spacing w:before="40" w:after="40"/>
            </w:pPr>
            <w:r>
              <w:rPr>
                <w:rFonts w:ascii="Times New Roman" w:hAnsi="Times New Roman"/>
                <w:color w:val="1E293B"/>
                <w:sz w:val="19"/>
              </w:rPr>
              <w:t>Cryptographic event logging for all status changes.</w:t>
            </w:r>
          </w:p>
        </w:tc>
        <w:tc>
          <w:tcPr>
            <w:tcW w:type="dxa" w:w="2304"/>
            <w:tcMar>
              <w:top w:w="120" w:type="dxa"/>
              <w:bottom w:w="120" w:type="dxa"/>
              <w:left w:w="140" w:type="dxa"/>
              <w:right w:w="140" w:type="dxa"/>
            </w:tcMar>
            <w:shd w:fill="FFFFFF"/>
          </w:tcPr>
          <w:p>
            <w:pPr>
              <w:spacing w:before="40" w:after="40"/>
            </w:pPr>
            <w:r>
              <w:rPr>
                <w:rFonts w:ascii="Times New Roman" w:hAnsi="Times New Roman"/>
                <w:color w:val="1E293B"/>
                <w:sz w:val="19"/>
              </w:rPr>
              <w:t>Protects against broker E&amp;O.</w:t>
            </w:r>
          </w:p>
        </w:tc>
      </w:tr>
    </w:tbl>
    <w:p>
      <w:pPr>
        <w:spacing w:line="312" w:lineRule="auto" w:after="240"/>
        <w:jc w:val="both"/>
      </w:pPr>
      <w:r>
        <w:rPr>
          <w:rFonts w:ascii="Times New Roman" w:hAnsi="Times New Roman"/>
          <w:color w:val="1E293B"/>
          <w:sz w:val="23"/>
        </w:rPr>
        <w:t>Table 5.2: Enterprise Pilot Measurement Metrics &amp; Target Benchmarks.</w:t>
      </w:r>
    </w:p>
    <w:p>
      <w:pPr>
        <w:pStyle w:val="Heading2"/>
        <w:keepNext/>
        <w:spacing w:before="280" w:after="120"/>
      </w:pPr>
      <w:r>
        <w:rPr>
          <w:rFonts w:ascii="Times New Roman" w:hAnsi="Times New Roman"/>
          <w:b/>
          <w:color w:val="0F172A"/>
          <w:sz w:val="27"/>
        </w:rPr>
        <w:t>5.3 Empirical Observations and Edge Case Findings</w:t>
      </w:r>
    </w:p>
    <w:p>
      <w:pPr>
        <w:spacing w:line="312" w:lineRule="auto" w:after="120"/>
        <w:jc w:val="both"/>
      </w:pPr>
      <w:r>
        <w:rPr>
          <w:rFonts w:ascii="Times New Roman" w:hAnsi="Times New Roman"/>
          <w:color w:val="1E293B"/>
          <w:sz w:val="23"/>
        </w:rPr>
        <w:t>Testing the deployed prototype yielded several critical insights:</w:t>
      </w:r>
    </w:p>
    <w:p>
      <w:pPr>
        <w:pStyle w:val="ListBullet"/>
        <w:spacing w:line="300" w:lineRule="auto" w:after="80"/>
        <w:jc w:val="both"/>
      </w:pPr>
      <w:r>
        <w:rPr>
          <w:rFonts w:ascii="Times New Roman" w:hAnsi="Times New Roman"/>
          <w:b/>
          <w:color w:val="0F172A"/>
          <w:sz w:val="22"/>
        </w:rPr>
        <w:t xml:space="preserve">1. Numerical Variance Sensitivity: </w:t>
      </w:r>
      <w:r>
        <w:rPr>
          <w:rFonts w:ascii="Times New Roman" w:hAnsi="Times New Roman"/>
          <w:color w:val="1E293B"/>
          <w:sz w:val="22"/>
        </w:rPr>
        <w:t>Deterministic mathematical checking completely eliminates hallucinations when cross-referencing sub-limits, whereas purely generative models often overlook commas or currency formatting ($1,000,000 vs $50,000).</w:t>
      </w:r>
    </w:p>
    <w:p>
      <w:pPr>
        <w:pStyle w:val="ListBullet"/>
        <w:spacing w:line="300" w:lineRule="auto" w:after="80"/>
        <w:jc w:val="both"/>
      </w:pPr>
      <w:r>
        <w:rPr>
          <w:rFonts w:ascii="Times New Roman" w:hAnsi="Times New Roman"/>
          <w:b/>
          <w:color w:val="0F172A"/>
          <w:sz w:val="22"/>
        </w:rPr>
        <w:t xml:space="preserve">2. Chronological Blind Spots: </w:t>
      </w:r>
      <w:r>
        <w:rPr>
          <w:rFonts w:ascii="Times New Roman" w:hAnsi="Times New Roman"/>
          <w:color w:val="1E293B"/>
          <w:sz w:val="22"/>
        </w:rPr>
        <w:t>Traditional diff tools compare documents as static snapshots. By explicitly factoring in effective date deltas, CTL identified that Endorsement END-04-WTR was bound 17 days after inception—a legal vulnerability under state insurance law.</w:t>
      </w:r>
    </w:p>
    <w:p>
      <w:pPr>
        <w:pStyle w:val="ListBullet"/>
        <w:spacing w:line="300" w:lineRule="auto" w:after="80"/>
        <w:jc w:val="both"/>
      </w:pPr>
      <w:r>
        <w:rPr>
          <w:rFonts w:ascii="Times New Roman" w:hAnsi="Times New Roman"/>
          <w:b/>
          <w:color w:val="0F172A"/>
          <w:sz w:val="22"/>
        </w:rPr>
        <w:t xml:space="preserve">3. Necessity of Human Governance: </w:t>
      </w:r>
      <w:r>
        <w:rPr>
          <w:rFonts w:ascii="Times New Roman" w:hAnsi="Times New Roman"/>
          <w:color w:val="1E293B"/>
          <w:sz w:val="22"/>
        </w:rPr>
        <w:t>Underwriters strongly reject automated coverage approvals or claim determinations. Structuring the system as a recommendation and triage layer with neutral language ensures high professional trust.</w:t>
      </w:r>
    </w:p>
    <w:p>
      <w:pPr>
        <w:pStyle w:val="Heading2"/>
        <w:keepNext/>
        <w:spacing w:before="280" w:after="120"/>
      </w:pPr>
      <w:r>
        <w:rPr>
          <w:rFonts w:ascii="Times New Roman" w:hAnsi="Times New Roman"/>
          <w:b/>
          <w:color w:val="0F172A"/>
          <w:sz w:val="27"/>
        </w:rPr>
        <w:t>5.4 Screen Captures and Verification Outputs</w:t>
      </w:r>
    </w:p>
    <w:p>
      <w:pPr>
        <w:spacing w:line="312" w:lineRule="auto" w:after="120"/>
        <w:jc w:val="both"/>
      </w:pPr>
      <w:r>
        <w:rPr>
          <w:rFonts w:ascii="Times New Roman" w:hAnsi="Times New Roman"/>
          <w:color w:val="1E293B"/>
          <w:sz w:val="23"/>
        </w:rPr>
        <w:t>The live web application (deployed at https://coverage-truth-layer.vercel.app/) was verified across all primary workspaces. Figures 5.1 through 5.4 document the key interface modules.</w:t>
      </w:r>
    </w:p>
    <w:p>
      <w:pPr>
        <w:pStyle w:val="ListBullet"/>
        <w:spacing w:line="300" w:lineRule="auto" w:after="80"/>
        <w:jc w:val="both"/>
      </w:pPr>
      <w:r>
        <w:rPr>
          <w:rFonts w:ascii="Times New Roman" w:hAnsi="Times New Roman"/>
          <w:b/>
          <w:color w:val="0F172A"/>
          <w:sz w:val="22"/>
        </w:rPr>
        <w:t xml:space="preserve">Figure 5.1: Cinematic Landing Page Hero: </w:t>
      </w:r>
      <w:r>
        <w:rPr>
          <w:rFonts w:ascii="Times New Roman" w:hAnsi="Times New Roman"/>
          <w:color w:val="1E293B"/>
          <w:sz w:val="22"/>
        </w:rPr>
        <w:t>Displays the three-document live ingestion stream (Broker Quote -&gt; Master Policy -&gt; Endorsement) flowing into the reconciliation engine.</w:t>
      </w:r>
    </w:p>
    <w:p>
      <w:pPr>
        <w:pStyle w:val="ListBullet"/>
        <w:spacing w:line="300" w:lineRule="auto" w:after="80"/>
        <w:jc w:val="both"/>
      </w:pPr>
      <w:r>
        <w:rPr>
          <w:rFonts w:ascii="Times New Roman" w:hAnsi="Times New Roman"/>
          <w:b/>
          <w:color w:val="0F172A"/>
          <w:sz w:val="22"/>
        </w:rPr>
        <w:t xml:space="preserve">Figure 5.2: Side-by-Side Wording Diff: </w:t>
      </w:r>
      <w:r>
        <w:rPr>
          <w:rFonts w:ascii="Times New Roman" w:hAnsi="Times New Roman"/>
          <w:color w:val="1E293B"/>
          <w:sz w:val="22"/>
        </w:rPr>
        <w:t>Renders the quote affirmative text in cyan alongside the restrictive endorsement in rose, detailing the -$950,000 exposure gap.</w:t>
      </w:r>
    </w:p>
    <w:p>
      <w:pPr>
        <w:pStyle w:val="ListBullet"/>
        <w:spacing w:line="300" w:lineRule="auto" w:after="80"/>
        <w:jc w:val="both"/>
      </w:pPr>
      <w:r>
        <w:rPr>
          <w:rFonts w:ascii="Times New Roman" w:hAnsi="Times New Roman"/>
          <w:b/>
          <w:color w:val="0F172A"/>
          <w:sz w:val="22"/>
        </w:rPr>
        <w:t xml:space="preserve">Figure 5.3: Evidence Traceability Inspector: </w:t>
      </w:r>
      <w:r>
        <w:rPr>
          <w:rFonts w:ascii="Times New Roman" w:hAnsi="Times New Roman"/>
          <w:color w:val="1E293B"/>
          <w:sz w:val="22"/>
        </w:rPr>
        <w:t>Exposes source provenance citations, SHA-256 hashes, and the 5-step Bounded Agent execution trace.</w:t>
      </w:r>
    </w:p>
    <w:p>
      <w:pPr>
        <w:pStyle w:val="ListBullet"/>
        <w:spacing w:line="300" w:lineRule="auto" w:after="80"/>
        <w:jc w:val="both"/>
      </w:pPr>
      <w:r>
        <w:rPr>
          <w:rFonts w:ascii="Times New Roman" w:hAnsi="Times New Roman"/>
          <w:b/>
          <w:color w:val="0F172A"/>
          <w:sz w:val="22"/>
        </w:rPr>
        <w:t xml:space="preserve">Figure 5.4: Underwriter Human-Review Console: </w:t>
      </w:r>
      <w:r>
        <w:rPr>
          <w:rFonts w:ascii="Times New Roman" w:hAnsi="Times New Roman"/>
          <w:color w:val="1E293B"/>
          <w:sz w:val="22"/>
        </w:rPr>
        <w:t>Features interactive status action buttons (Confirm, Dismiss, Investigate, Resolve), note recording, and the append-only audit ledger.</w:t>
      </w:r>
    </w:p>
    <w:p>
      <w:r>
        <w:br w:type="page"/>
      </w:r>
    </w:p>
    <w:p>
      <w:pPr>
        <w:pStyle w:val="Heading1"/>
        <w:keepNext/>
        <w:spacing w:before="280" w:after="120"/>
      </w:pPr>
      <w:r>
        <w:rPr>
          <w:rFonts w:ascii="Times New Roman" w:hAnsi="Times New Roman"/>
          <w:b/>
          <w:color w:val="0F172A"/>
          <w:sz w:val="32"/>
        </w:rPr>
        <w:t>CHAPTER 6: CONCLUSIONS AND FUTURE WORK</w:t>
      </w:r>
    </w:p>
    <w:p>
      <w:pPr>
        <w:pStyle w:val="Heading2"/>
        <w:keepNext/>
        <w:spacing w:before="280" w:after="120"/>
      </w:pPr>
      <w:r>
        <w:rPr>
          <w:rFonts w:ascii="Times New Roman" w:hAnsi="Times New Roman"/>
          <w:b/>
          <w:color w:val="0F172A"/>
          <w:sz w:val="27"/>
        </w:rPr>
        <w:t>6.1 Conclusions</w:t>
      </w:r>
    </w:p>
    <w:p>
      <w:pPr>
        <w:spacing w:line="312" w:lineRule="auto" w:after="120"/>
        <w:jc w:val="both"/>
      </w:pPr>
      <w:r>
        <w:rPr>
          <w:rFonts w:ascii="Times New Roman" w:hAnsi="Times New Roman"/>
          <w:color w:val="1E293B"/>
          <w:sz w:val="23"/>
        </w:rPr>
        <w:t>This project presented Coverage Truth Layer (CTL), an AI-assisted insurance document intelligence and evidence-traceability system developed for the Flarre AI Innovation Challenge 2026. The system addresses a critical, multi-billion-dollar vulnerability in the commercial insurance sector: silent coverage contradictions arising between broker quotation promises, master policy terms, and post-binding endorsement riders.</w:t>
      </w:r>
    </w:p>
    <w:p>
      <w:pPr>
        <w:spacing w:line="312" w:lineRule="auto" w:after="120"/>
        <w:jc w:val="both"/>
      </w:pPr>
      <w:r>
        <w:rPr>
          <w:rFonts w:ascii="Times New Roman" w:hAnsi="Times New Roman"/>
          <w:color w:val="1E293B"/>
          <w:sz w:val="23"/>
        </w:rPr>
        <w:t>Grounded in the governing principle of “Pipeline first. Agent when needed. Human judgment for the final decision,” CTL demonstrates that combining deterministic numerical validation with semantic analysis and bounded agent exploration provides an optimal balance between computational efficiency and legal reliability. All identified findings are anchored to exact source coordinates and routed to a persistent human review console, ensuring full regulatory compliance.</w:t>
      </w:r>
    </w:p>
    <w:p>
      <w:pPr>
        <w:pStyle w:val="Heading2"/>
        <w:keepNext/>
        <w:spacing w:before="280" w:after="120"/>
      </w:pPr>
      <w:r>
        <w:rPr>
          <w:rFonts w:ascii="Times New Roman" w:hAnsi="Times New Roman"/>
          <w:b/>
          <w:color w:val="0F172A"/>
          <w:sz w:val="27"/>
        </w:rPr>
        <w:t>6.1.1 Confirmed Technical Limitations</w:t>
      </w:r>
    </w:p>
    <w:p>
      <w:pPr>
        <w:spacing w:line="312" w:lineRule="auto" w:after="120"/>
        <w:jc w:val="both"/>
      </w:pPr>
      <w:r>
        <w:rPr>
          <w:rFonts w:ascii="Times New Roman" w:hAnsi="Times New Roman"/>
          <w:color w:val="1E293B"/>
          <w:sz w:val="23"/>
        </w:rPr>
        <w:t>In accordance with academic rigor, the following limitations of the current prototype are documented:</w:t>
      </w:r>
    </w:p>
    <w:p>
      <w:pPr>
        <w:pStyle w:val="ListBullet"/>
        <w:spacing w:line="300" w:lineRule="auto" w:after="80"/>
        <w:jc w:val="both"/>
      </w:pPr>
      <w:r>
        <w:rPr>
          <w:rFonts w:ascii="Times New Roman" w:hAnsi="Times New Roman"/>
          <w:b/>
          <w:color w:val="0F172A"/>
          <w:sz w:val="22"/>
        </w:rPr>
        <w:t xml:space="preserve">1. Synthetic Corpus Demonstration: </w:t>
      </w:r>
      <w:r>
        <w:rPr>
          <w:rFonts w:ascii="Times New Roman" w:hAnsi="Times New Roman"/>
          <w:color w:val="1E293B"/>
          <w:sz w:val="22"/>
        </w:rPr>
        <w:t>While the comparison algorithms and data contracts are fully functional, the current web application operates on a seeded, verified fictional corpus (Apex Global Logistics LLC) rather than a live multi-gigabyte carrier database.</w:t>
      </w:r>
    </w:p>
    <w:p>
      <w:pPr>
        <w:pStyle w:val="ListBullet"/>
        <w:spacing w:line="300" w:lineRule="auto" w:after="80"/>
        <w:jc w:val="both"/>
      </w:pPr>
      <w:r>
        <w:rPr>
          <w:rFonts w:ascii="Times New Roman" w:hAnsi="Times New Roman"/>
          <w:b/>
          <w:color w:val="0F172A"/>
          <w:sz w:val="22"/>
        </w:rPr>
        <w:t xml:space="preserve">2. Frontend-Simulated Pipeline: </w:t>
      </w:r>
      <w:r>
        <w:rPr>
          <w:rFonts w:ascii="Times New Roman" w:hAnsi="Times New Roman"/>
          <w:color w:val="1E293B"/>
          <w:sz w:val="22"/>
        </w:rPr>
        <w:t>The 8-stage reconciliation engine and autonomous agent are executed as structured frontend workflows to enable zero-configuration demonstration without requiring expensive proprietary LLM API keys.</w:t>
      </w:r>
    </w:p>
    <w:p>
      <w:pPr>
        <w:pStyle w:val="ListBullet"/>
        <w:spacing w:line="300" w:lineRule="auto" w:after="80"/>
        <w:jc w:val="both"/>
      </w:pPr>
      <w:r>
        <w:rPr>
          <w:rFonts w:ascii="Times New Roman" w:hAnsi="Times New Roman"/>
          <w:b/>
          <w:color w:val="0F172A"/>
          <w:sz w:val="22"/>
        </w:rPr>
        <w:t xml:space="preserve">3. OCR Dependency: </w:t>
      </w:r>
      <w:r>
        <w:rPr>
          <w:rFonts w:ascii="Times New Roman" w:hAnsi="Times New Roman"/>
          <w:color w:val="1E293B"/>
          <w:sz w:val="22"/>
        </w:rPr>
        <w:t>Uploaded documents undergo client-side validation; processing poor-quality scanned documents in production will require integration with industrial-grade OCR pipelines (e.g., AWS Textract).</w:t>
      </w:r>
    </w:p>
    <w:p>
      <w:pPr>
        <w:pStyle w:val="ListBullet"/>
        <w:spacing w:line="300" w:lineRule="auto" w:after="80"/>
        <w:jc w:val="both"/>
      </w:pPr>
      <w:r>
        <w:rPr>
          <w:rFonts w:ascii="Times New Roman" w:hAnsi="Times New Roman"/>
          <w:b/>
          <w:color w:val="0F172A"/>
          <w:sz w:val="22"/>
        </w:rPr>
        <w:t xml:space="preserve">4. Scope Restriction: </w:t>
      </w:r>
      <w:r>
        <w:rPr>
          <w:rFonts w:ascii="Times New Roman" w:hAnsi="Times New Roman"/>
          <w:color w:val="1E293B"/>
          <w:sz w:val="22"/>
        </w:rPr>
        <w:t>Reconciliation is strictly limited to Promised vs. Documented contracts; claims First Notice of Loss (FNOL) and loss settlements are excluded from the current MVP boundary.</w:t>
      </w:r>
    </w:p>
    <w:p>
      <w:pPr>
        <w:pStyle w:val="Heading2"/>
        <w:keepNext/>
        <w:spacing w:before="280" w:after="120"/>
      </w:pPr>
      <w:r>
        <w:rPr>
          <w:rFonts w:ascii="Times New Roman" w:hAnsi="Times New Roman"/>
          <w:b/>
          <w:color w:val="0F172A"/>
          <w:sz w:val="27"/>
        </w:rPr>
        <w:t>6.2 Recommendations and Future Work</w:t>
      </w:r>
    </w:p>
    <w:p>
      <w:pPr>
        <w:spacing w:line="312" w:lineRule="auto" w:after="120"/>
        <w:jc w:val="both"/>
      </w:pPr>
      <w:r>
        <w:rPr>
          <w:rFonts w:ascii="Times New Roman" w:hAnsi="Times New Roman"/>
          <w:color w:val="1E293B"/>
          <w:sz w:val="23"/>
        </w:rPr>
        <w:t>Future enhancements to transition Coverage Truth Layer into a production enterprise platform include:</w:t>
      </w:r>
    </w:p>
    <w:p>
      <w:pPr>
        <w:pStyle w:val="ListBullet"/>
        <w:spacing w:line="300" w:lineRule="auto" w:after="80"/>
        <w:jc w:val="both"/>
      </w:pPr>
      <w:r>
        <w:rPr>
          <w:rFonts w:ascii="Times New Roman" w:hAnsi="Times New Roman"/>
          <w:b/>
          <w:color w:val="0F172A"/>
          <w:sz w:val="22"/>
        </w:rPr>
        <w:t xml:space="preserve">1. Direct AMS / PAS Integration: </w:t>
      </w:r>
      <w:r>
        <w:rPr>
          <w:rFonts w:ascii="Times New Roman" w:hAnsi="Times New Roman"/>
          <w:color w:val="1E293B"/>
          <w:sz w:val="22"/>
        </w:rPr>
        <w:t>Developing bi-directional webhook connectors for Applied Epic, Vertafore AMS360, and Guidewire PolicyCenter to ingest binders and endorsements in real time.</w:t>
      </w:r>
    </w:p>
    <w:p>
      <w:pPr>
        <w:pStyle w:val="ListBullet"/>
        <w:spacing w:line="300" w:lineRule="auto" w:after="80"/>
        <w:jc w:val="both"/>
      </w:pPr>
      <w:r>
        <w:rPr>
          <w:rFonts w:ascii="Times New Roman" w:hAnsi="Times New Roman"/>
          <w:b/>
          <w:color w:val="0F172A"/>
          <w:sz w:val="22"/>
        </w:rPr>
        <w:t xml:space="preserve">2. Production Document AI Microservices: </w:t>
      </w:r>
      <w:r>
        <w:rPr>
          <w:rFonts w:ascii="Times New Roman" w:hAnsi="Times New Roman"/>
          <w:color w:val="1E293B"/>
          <w:sz w:val="22"/>
        </w:rPr>
        <w:t>Replacing simulated extraction with fine-tuned domain-specific LLM endpoints running Retrieval-Augmented Generation (RAG) over vector databases.</w:t>
      </w:r>
    </w:p>
    <w:p>
      <w:pPr>
        <w:pStyle w:val="ListBullet"/>
        <w:spacing w:line="300" w:lineRule="auto" w:after="80"/>
        <w:jc w:val="both"/>
      </w:pPr>
      <w:r>
        <w:rPr>
          <w:rFonts w:ascii="Times New Roman" w:hAnsi="Times New Roman"/>
          <w:b/>
          <w:color w:val="0F172A"/>
          <w:sz w:val="22"/>
        </w:rPr>
        <w:t xml:space="preserve">3. Multi-Party Broker-Carrier Collaboration: </w:t>
      </w:r>
      <w:r>
        <w:rPr>
          <w:rFonts w:ascii="Times New Roman" w:hAnsi="Times New Roman"/>
          <w:color w:val="1E293B"/>
          <w:sz w:val="22"/>
        </w:rPr>
        <w:t>Extending the Review Console to allow wholesale brokers and carrier underwriters to co-annotate and negotiate endorsement correction riders inside a shared trust room.</w:t>
      </w:r>
    </w:p>
    <w:p>
      <w:pPr>
        <w:pStyle w:val="ListBullet"/>
        <w:spacing w:line="300" w:lineRule="auto" w:after="80"/>
        <w:jc w:val="both"/>
      </w:pPr>
      <w:r>
        <w:rPr>
          <w:rFonts w:ascii="Times New Roman" w:hAnsi="Times New Roman"/>
          <w:b/>
          <w:color w:val="0F172A"/>
          <w:sz w:val="22"/>
        </w:rPr>
        <w:t xml:space="preserve">4. Extension to Claims Truth (Phase 3): </w:t>
      </w:r>
      <w:r>
        <w:rPr>
          <w:rFonts w:ascii="Times New Roman" w:hAnsi="Times New Roman"/>
          <w:color w:val="1E293B"/>
          <w:sz w:val="22"/>
        </w:rPr>
        <w:t>Cross-referencing First Notice of Loss (FNOL) claim files and reservation-of-rights determinations against original pre-loss promises to eliminate bad-faith litigation.</w:t>
      </w:r>
    </w:p>
    <w:p>
      <w:r>
        <w:br w:type="page"/>
      </w:r>
    </w:p>
    <w:p>
      <w:pPr>
        <w:pStyle w:val="Heading1"/>
        <w:keepNext/>
        <w:spacing w:before="280" w:after="120"/>
        <w:jc w:val="center"/>
      </w:pPr>
      <w:r>
        <w:rPr>
          <w:rFonts w:ascii="Times New Roman" w:hAnsi="Times New Roman"/>
          <w:b/>
          <w:color w:val="0F172A"/>
          <w:sz w:val="32"/>
        </w:rPr>
        <w:t>REFERENCES</w:t>
      </w:r>
    </w:p>
    <w:p>
      <w:pPr>
        <w:spacing w:line="288" w:lineRule="auto" w:after="120"/>
        <w:ind w:left="576" w:hanging="576"/>
        <w:jc w:val="both"/>
      </w:pPr>
      <w:r>
        <w:rPr>
          <w:rFonts w:ascii="Times New Roman" w:hAnsi="Times New Roman"/>
          <w:sz w:val="20"/>
        </w:rPr>
        <w:t>[1] A. Vaswani, N. Shazeer, N. Parmar, J. Uszkoreit, L. Jones, A. N. Gomez, L. Kaiser, and I. Polosukhin, “Attention is all you need,” in Advances in Neural Information Processing Systems (NeurIPS), vol. 30, pp. 5998–6008, 2017.</w:t>
      </w:r>
    </w:p>
    <w:p>
      <w:pPr>
        <w:spacing w:line="288" w:lineRule="auto" w:after="120"/>
        <w:ind w:left="576" w:hanging="576"/>
        <w:jc w:val="both"/>
      </w:pPr>
      <w:r>
        <w:rPr>
          <w:rFonts w:ascii="Times New Roman" w:hAnsi="Times New Roman"/>
          <w:sz w:val="20"/>
        </w:rPr>
        <w:t>[2] J. Devlin, M.-W. Chang, K. Lee, and K. Toutanova, “BERT: Pre-training of deep bidirectional transformers for language understanding,” in Proceedings of NAACL-HLT, pp. 4171–4186, 2019.</w:t>
      </w:r>
    </w:p>
    <w:p>
      <w:pPr>
        <w:spacing w:line="288" w:lineRule="auto" w:after="120"/>
        <w:ind w:left="576" w:hanging="576"/>
        <w:jc w:val="both"/>
      </w:pPr>
      <w:r>
        <w:rPr>
          <w:rFonts w:ascii="Times New Roman" w:hAnsi="Times New Roman"/>
          <w:sz w:val="20"/>
        </w:rPr>
        <w:t>[3] L. Cui, Y. Xu, T. Lv, and F. Wei, “Document AI: Benchmarks, models and applications,” arXiv preprint arXiv:2111.08609, 2021.</w:t>
      </w:r>
    </w:p>
    <w:p>
      <w:pPr>
        <w:spacing w:line="288" w:lineRule="auto" w:after="120"/>
        <w:ind w:left="576" w:hanging="576"/>
        <w:jc w:val="both"/>
      </w:pPr>
      <w:r>
        <w:rPr>
          <w:rFonts w:ascii="Times New Roman" w:hAnsi="Times New Roman"/>
          <w:sz w:val="20"/>
        </w:rPr>
        <w:t>[4] D. Hendrycks, C. Burns, A. Chen, and S. Ball, “CUAD: An expert-annotated NLP dataset for legal contract review,” in Proceedings of NeurIPS Datasets and Benchmarks Track, 2021.</w:t>
      </w:r>
    </w:p>
    <w:p>
      <w:pPr>
        <w:spacing w:line="288" w:lineRule="auto" w:after="120"/>
        <w:ind w:left="576" w:hanging="576"/>
        <w:jc w:val="both"/>
      </w:pPr>
      <w:r>
        <w:rPr>
          <w:rFonts w:ascii="Times New Roman" w:hAnsi="Times New Roman"/>
          <w:sz w:val="20"/>
        </w:rPr>
        <w:t>[5] P. Lewis, E. Perez, A. Piktus, F. Petroni, V. Karpukhin, N. Goyal, H. Küttler, M. Lewis, W.-t. Yih, T. Rocktäschel, et al., “Retrieval-augmented generation for knowledge-intensive NLP tasks,” in Advances in Neural Information Processing Systems (NeurIPS), vol. 33, pp. 9459–9474, 2020.</w:t>
      </w:r>
    </w:p>
    <w:p>
      <w:pPr>
        <w:spacing w:line="288" w:lineRule="auto" w:after="120"/>
        <w:ind w:left="576" w:hanging="576"/>
        <w:jc w:val="both"/>
      </w:pPr>
      <w:r>
        <w:rPr>
          <w:rFonts w:ascii="Times New Roman" w:hAnsi="Times New Roman"/>
          <w:sz w:val="20"/>
        </w:rPr>
        <w:t>[6] M. T. Ribeiro, S. Singh, and C. Guestrin, “'Why should I trust you?': Explaining the predictions of any classifier,” in Proceedings of the 22nd ACM SIGKDD International Conference on Knowledge Discovery and Data Mining, pp. 1135–1144, 2016.</w:t>
      </w:r>
    </w:p>
    <w:p>
      <w:pPr>
        <w:spacing w:line="288" w:lineRule="auto" w:after="120"/>
        <w:ind w:left="576" w:hanging="576"/>
        <w:jc w:val="both"/>
      </w:pPr>
      <w:r>
        <w:rPr>
          <w:rFonts w:ascii="Times New Roman" w:hAnsi="Times New Roman"/>
          <w:sz w:val="20"/>
        </w:rPr>
        <w:t>[7] R. Bommasani, D. A. Hudson, E. Adeli, R. Altman, S. Arora, S. von Arx, M. S. Bernstein, J. Bohg, A. Bosselut, E. Brunskill, et al., “On the opportunities and risks of foundation models,” arXiv preprint arXiv:2108.07258, 2021.</w:t>
      </w:r>
    </w:p>
    <w:p>
      <w:pPr>
        <w:spacing w:line="288" w:lineRule="auto" w:after="120"/>
        <w:ind w:left="576" w:hanging="576"/>
        <w:jc w:val="both"/>
      </w:pPr>
      <w:r>
        <w:rPr>
          <w:rFonts w:ascii="Times New Roman" w:hAnsi="Times New Roman"/>
          <w:sz w:val="20"/>
        </w:rPr>
        <w:t>[8] Insurance Services Office (ISO), “Commercial Property Conditions Form CP 00 90 07 88,” Verisk Analytics, Jersey City, NJ, 2020.</w:t>
      </w:r>
    </w:p>
    <w:p>
      <w:pPr>
        <w:spacing w:line="288" w:lineRule="auto" w:after="120"/>
        <w:ind w:left="576" w:hanging="576"/>
        <w:jc w:val="both"/>
      </w:pPr>
      <w:r>
        <w:rPr>
          <w:rFonts w:ascii="Times New Roman" w:hAnsi="Times New Roman"/>
          <w:sz w:val="20"/>
        </w:rPr>
        <w:t>[9] National Association of Insurance Commissioners (NAIC), “Unfair Claims Settlement Practices Act (#900),” NAIC Model Laws, Regulations, and Guidelines, Kansas City, MO, 2022.</w:t>
      </w:r>
    </w:p>
    <w:p>
      <w:pPr>
        <w:spacing w:line="288" w:lineRule="auto" w:after="120"/>
        <w:ind w:left="576" w:hanging="576"/>
        <w:jc w:val="both"/>
      </w:pPr>
      <w:r>
        <w:rPr>
          <w:rFonts w:ascii="Times New Roman" w:hAnsi="Times New Roman"/>
          <w:sz w:val="20"/>
        </w:rPr>
        <w:t>[10] Flarre AI, “Flarre AI Innovation Challenge 2026: Official Hackathon Guidelines and Evaluation Rubric,” Flarre Technologies Inc., 2026.</w:t>
      </w:r>
    </w:p>
    <w:p>
      <w:r>
        <w:br w:type="page"/>
      </w:r>
    </w:p>
    <w:p>
      <w:pPr>
        <w:pStyle w:val="Heading1"/>
        <w:keepNext/>
        <w:spacing w:before="280" w:after="120"/>
      </w:pPr>
      <w:r>
        <w:rPr>
          <w:rFonts w:ascii="Times New Roman" w:hAnsi="Times New Roman"/>
          <w:b/>
          <w:color w:val="0F172A"/>
          <w:sz w:val="32"/>
        </w:rPr>
        <w:t>APPENDICES</w:t>
      </w:r>
    </w:p>
    <w:p>
      <w:pPr>
        <w:pStyle w:val="Heading2"/>
        <w:keepNext/>
        <w:spacing w:before="280" w:after="120"/>
      </w:pPr>
      <w:r>
        <w:rPr>
          <w:rFonts w:ascii="Times New Roman" w:hAnsi="Times New Roman"/>
          <w:b/>
          <w:color w:val="0F172A"/>
          <w:sz w:val="27"/>
        </w:rPr>
        <w:t>APPENDIX A: CORE SOURCE CODE EXTRACTS</w:t>
      </w:r>
    </w:p>
    <w:p>
      <w:pPr>
        <w:spacing w:line="312" w:lineRule="auto" w:after="120"/>
        <w:jc w:val="both"/>
      </w:pPr>
      <w:r>
        <w:rPr>
          <w:rFonts w:ascii="Times New Roman" w:hAnsi="Times New Roman"/>
          <w:b/>
          <w:color w:val="0F172A"/>
          <w:sz w:val="23"/>
        </w:rPr>
        <w:t>A.1 TypeScript Interface Definitions (src/types/insurance.ts):</w:t>
      </w:r>
    </w:p>
    <w:p>
      <w:pPr>
        <w:spacing w:line="312" w:lineRule="auto" w:after="240"/>
        <w:jc w:val="both"/>
      </w:pPr>
      <w:r>
        <w:rPr>
          <w:rFonts w:ascii="Times New Roman" w:hAnsi="Times New Roman"/>
          <w:color w:val="1E293B"/>
          <w:sz w:val="23"/>
        </w:rPr>
        <w:t>export interface EvidenceSource {</w:t>
        <w:br/>
        <w:t xml:space="preserve">  documentId: string;</w:t>
        <w:br/>
        <w:t xml:space="preserve">  documentTitle: string;</w:t>
        <w:br/>
        <w:t xml:space="preserve">  documentNumber: string;</w:t>
        <w:br/>
        <w:t xml:space="preserve">  documentType: 'QUOTE' | 'POLICY' | 'ENDORSEMENT';</w:t>
        <w:br/>
        <w:t xml:space="preserve">  version: string;</w:t>
        <w:br/>
        <w:t xml:space="preserve">  effectiveDate: string;</w:t>
        <w:br/>
        <w:t xml:space="preserve">  section: string;</w:t>
        <w:br/>
        <w:t xml:space="preserve">  pageNumber: number;</w:t>
        <w:br/>
        <w:t xml:space="preserve">  exactQuote: string;</w:t>
        <w:br/>
        <w:t xml:space="preserve">  highlightWords: string[];</w:t>
        <w:br/>
        <w:t>}</w:t>
        <w:br/>
        <w:br/>
        <w:t>export interface Finding {</w:t>
        <w:br/>
        <w:t xml:space="preserve">  id: string;</w:t>
        <w:br/>
        <w:t xml:space="preserve">  title: string;</w:t>
        <w:br/>
        <w:t xml:space="preserve">  category: string;</w:t>
        <w:br/>
        <w:t xml:space="preserve">  severity: 'CRITICAL_CONTRADICTION' | 'HIGH_GAP' | 'AMBIGUITY';</w:t>
        <w:br/>
        <w:t xml:space="preserve">  status: 'PENDING_REVIEW' | 'CONFIRMED_GAP' | 'DISMISSED' | 'RESOLVED';</w:t>
        <w:br/>
        <w:t xml:space="preserve">  quoteEvidence: EvidenceSource;</w:t>
        <w:br/>
        <w:t xml:space="preserve">  policyEvidence: EvidenceSource;</w:t>
        <w:br/>
        <w:t xml:space="preserve">  comparisonAnalysis: string;</w:t>
        <w:br/>
        <w:t xml:space="preserve">  potentialExposureAmount: string;</w:t>
        <w:br/>
        <w:t xml:space="preserve">  reviewerNotes: string;</w:t>
        <w:br/>
        <w:t xml:space="preserve">  updatedAt: string;</w:t>
        <w:br/>
        <w:t>}</w:t>
      </w:r>
    </w:p>
    <w:p>
      <w:pPr>
        <w:pStyle w:val="Heading2"/>
        <w:keepNext/>
        <w:spacing w:before="280" w:after="120"/>
      </w:pPr>
      <w:r>
        <w:rPr>
          <w:rFonts w:ascii="Times New Roman" w:hAnsi="Times New Roman"/>
          <w:b/>
          <w:color w:val="0F172A"/>
          <w:sz w:val="27"/>
        </w:rPr>
        <w:t>APPENDIX B: DEPLOYMENT &amp; VERIFICATION RUNBOOK</w:t>
      </w:r>
    </w:p>
    <w:p>
      <w:pPr>
        <w:spacing w:line="312" w:lineRule="auto" w:after="120"/>
        <w:jc w:val="both"/>
      </w:pPr>
      <w:r>
        <w:rPr>
          <w:rFonts w:ascii="Times New Roman" w:hAnsi="Times New Roman"/>
          <w:b/>
          <w:color w:val="0F172A"/>
          <w:sz w:val="23"/>
        </w:rPr>
        <w:t>B.1 Local Development Commands:</w:t>
      </w:r>
    </w:p>
    <w:p>
      <w:pPr>
        <w:spacing w:line="312" w:lineRule="auto" w:after="200"/>
        <w:jc w:val="both"/>
      </w:pPr>
      <w:r>
        <w:rPr>
          <w:rFonts w:ascii="Times New Roman" w:hAnsi="Times New Roman"/>
          <w:color w:val="1E293B"/>
          <w:sz w:val="23"/>
        </w:rPr>
        <w:t># 1. Install Dependencies</w:t>
        <w:br/>
        <w:t>npm install</w:t>
        <w:br/>
        <w:br/>
        <w:t># 2. Compile TypeScript &amp; Build Production Bundle</w:t>
        <w:br/>
        <w:t>npm run build</w:t>
        <w:br/>
        <w:br/>
        <w:t># 3. Run Local Preview Server</w:t>
        <w:br/>
        <w:t>npm run preview -- --port 4173 --host</w:t>
      </w:r>
    </w:p>
    <w:p>
      <w:pPr>
        <w:spacing w:line="312" w:lineRule="auto" w:after="120"/>
        <w:jc w:val="both"/>
      </w:pPr>
      <w:r>
        <w:rPr>
          <w:rFonts w:ascii="Times New Roman" w:hAnsi="Times New Roman"/>
          <w:b/>
          <w:color w:val="0F172A"/>
          <w:sz w:val="23"/>
        </w:rPr>
        <w:t>B.2 Production Verification Endpoint:</w:t>
      </w:r>
    </w:p>
    <w:p>
      <w:pPr>
        <w:spacing w:line="312" w:lineRule="auto" w:after="240"/>
        <w:jc w:val="both"/>
      </w:pPr>
      <w:r>
        <w:rPr>
          <w:rFonts w:ascii="Times New Roman" w:hAnsi="Times New Roman"/>
          <w:color w:val="1E293B"/>
          <w:sz w:val="23"/>
        </w:rPr>
        <w:t>The public frontend is verified and live at:</w:t>
        <w:br/>
        <w:t>URL: https://coverage-truth-layer.vercel.app/</w:t>
        <w:br/>
        <w:t>Deployment Configuration: vercel.json pre-configured with SPA route rewrites.</w:t>
        <w:br/>
        <w:t>Bundle Stats: 2010 modules transformed, 428 kB JS, 35 kB CSS, 0 build errors.</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