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2"/>
          <w:szCs w:val="22"/>
        </w:rPr>
        <w:t xml:space="preserve"/>
      </w:r>
    </w:p>
    <w:p>
      <w:pPr>
        <w:spacing w:before="0" w:after="200"/>
        <w:jc w:val="center"/>
      </w:pPr>
      <w:r>
        <w:rPr>
          <w:rFonts w:ascii="Arial" w:cs="Arial" w:eastAsia="Arial" w:hAnsi="Arial"/>
          <w:b/>
          <w:bCs/>
          <w:color w:val="1F4E79"/>
          <w:sz w:val="52"/>
          <w:szCs w:val="52"/>
        </w:rPr>
        <w:t xml:space="preserve">Loan Default Risk Predictor</w:t>
      </w:r>
    </w:p>
    <w:p>
      <w:pPr>
        <w:spacing w:before="0" w:after="600"/>
        <w:jc w:val="center"/>
      </w:pPr>
      <w:r>
        <w:rPr>
          <w:rFonts w:ascii="Arial" w:cs="Arial" w:eastAsia="Arial" w:hAnsi="Arial"/>
          <w:i/>
          <w:iCs/>
          <w:color w:val="2E75B6"/>
          <w:sz w:val="28"/>
          <w:szCs w:val="28"/>
        </w:rPr>
        <w:t xml:space="preserve">End-to-End Machine Learning with Explainability &amp; Fairness Auditing</w:t>
      </w:r>
    </w:p>
    <w:p>
      <w:pPr>
        <w:spacing w:after="100"/>
        <w:jc w:val="center"/>
      </w:pPr>
      <w:r>
        <w:rPr>
          <w:rFonts w:ascii="Arial" w:cs="Arial" w:eastAsia="Arial" w:hAnsi="Arial"/>
          <w:color w:val="555555"/>
          <w:sz w:val="24"/>
          <w:szCs w:val="24"/>
        </w:rPr>
        <w:t xml:space="preserve">BYOP Capstone Project Report</w:t>
      </w:r>
    </w:p>
    <w:p>
      <w:pPr>
        <w:spacing w:after="100"/>
        <w:jc w:val="center"/>
      </w:pPr>
      <w:r>
        <w:rPr>
          <w:rFonts w:ascii="Arial" w:cs="Arial" w:eastAsia="Arial" w:hAnsi="Arial"/>
          <w:color w:val="777777"/>
          <w:sz w:val="22"/>
          <w:szCs w:val="22"/>
        </w:rPr>
        <w:t xml:space="preserve">Data Science / Machine Learning Course</w:t>
      </w:r>
    </w:p>
    <w:p>
      <w:pPr>
        <w:spacing w:after="0"/>
        <w:jc w:val="center"/>
      </w:pPr>
      <w:r>
        <w:rPr>
          <w:rFonts w:ascii="Arial" w:cs="Arial" w:eastAsia="Arial" w:hAnsi="Arial"/>
          <w:color w:val="777777"/>
          <w:sz w:val="22"/>
          <w:szCs w:val="22"/>
        </w:rPr>
        <w:t xml:space="preserve">[Your Name]  |  [Institution]  |  2025</w:t>
      </w:r>
    </w:p>
    <w:p>
      <w:r>
        <w:br w:type="page"/>
      </w:r>
    </w:p>
    <w:p>
      <w:pPr>
        <w:pStyle w:val="Heading1"/>
        <w:spacing w:before="360" w:after="160"/>
      </w:pPr>
      <w:r>
        <w:rPr>
          <w:rFonts w:ascii="Arial" w:cs="Arial" w:eastAsia="Arial" w:hAnsi="Arial"/>
          <w:b/>
          <w:bCs/>
          <w:sz w:val="32"/>
          <w:szCs w:val="32"/>
        </w:rPr>
        <w:t xml:space="preserve">Abstract</w:t>
      </w:r>
    </w:p>
    <w:p>
      <w:pPr>
        <w:spacing w:before="80" w:after="100"/>
        <w:jc w:val="both"/>
      </w:pPr>
      <w:r>
        <w:rPr>
          <w:rFonts w:ascii="Arial" w:cs="Arial" w:eastAsia="Arial" w:hAnsi="Arial"/>
          <w:sz w:val="22"/>
          <w:szCs w:val="22"/>
        </w:rPr>
        <w:t xml:space="preserve">This report presents the design, implementation, and evaluation of a loan default risk prediction system built on the LendingClub public lending dataset (2007–2018). The project develops a binary classification pipeline using Logistic Regression, XGBoost, and LightGBM, addressing class imbalance via SMOTE, and preventing data leakage through careful removal of post-outcome features. The best-performing model — LightGBM — achieves a ROC-AUC of approximately 0.74 on a held-out test set.</w:t>
      </w:r>
    </w:p>
    <w:p>
      <w:pPr>
        <w:spacing w:before="80" w:after="100"/>
        <w:jc w:val="both"/>
      </w:pPr>
      <w:r>
        <w:rPr>
          <w:rFonts w:ascii="Arial" w:cs="Arial" w:eastAsia="Arial" w:hAnsi="Arial"/>
          <w:sz w:val="22"/>
          <w:szCs w:val="22"/>
        </w:rPr>
        <w:t xml:space="preserve">Beyond predictive performance, the project demonstrates responsible ML practice: SHAP (SHapley Additive exPlanations) is used to generate both global feature importance and per-prediction waterfall explanations, while the Fairlearn library audits the model for demographic parity and equalized odds across proxy sensitive groups (income tier, employment length, and home ownership). An interactive Streamlit dashboard allows users to explore applicant-level risk predictions and explanations in real time.</w:t>
      </w:r>
    </w:p>
    <w:p>
      <w:r>
        <w:br w:type="page"/>
      </w:r>
    </w:p>
    <w:p>
      <w:pPr>
        <w:pStyle w:val="Heading1"/>
        <w:spacing w:before="360" w:after="160"/>
      </w:pPr>
      <w:r>
        <w:rPr>
          <w:rFonts w:ascii="Arial" w:cs="Arial" w:eastAsia="Arial" w:hAnsi="Arial"/>
          <w:b/>
          <w:bCs/>
          <w:sz w:val="32"/>
          <w:szCs w:val="32"/>
        </w:rPr>
        <w:t xml:space="preserve">1. Introduction</w:t>
      </w:r>
    </w:p>
    <w:p>
      <w:pPr>
        <w:pStyle w:val="Heading2"/>
        <w:spacing w:before="280" w:after="120"/>
      </w:pPr>
      <w:r>
        <w:rPr>
          <w:rFonts w:ascii="Arial" w:cs="Arial" w:eastAsia="Arial" w:hAnsi="Arial"/>
          <w:b/>
          <w:bCs/>
          <w:sz w:val="26"/>
          <w:szCs w:val="26"/>
        </w:rPr>
        <w:t xml:space="preserve">1.1 Problem Statement</w:t>
      </w:r>
    </w:p>
    <w:p>
      <w:pPr>
        <w:spacing w:before="80" w:after="100"/>
        <w:jc w:val="both"/>
      </w:pPr>
      <w:r>
        <w:rPr>
          <w:rFonts w:ascii="Arial" w:cs="Arial" w:eastAsia="Arial" w:hAnsi="Arial"/>
          <w:sz w:val="22"/>
          <w:szCs w:val="22"/>
        </w:rPr>
        <w:t xml:space="preserve">Credit risk assessment is a fundamental problem in financial services. Lenders must estimate the probability that a borrower will fail to repay their loan — a task historically performed by human underwriters using rule-based scorecards, and increasingly by machine learning models.</w:t>
      </w:r>
    </w:p>
    <w:p>
      <w:pPr>
        <w:spacing w:before="80" w:after="100"/>
        <w:jc w:val="both"/>
      </w:pPr>
      <w:r>
        <w:rPr>
          <w:rFonts w:ascii="Arial" w:cs="Arial" w:eastAsia="Arial" w:hAnsi="Arial"/>
          <w:sz w:val="22"/>
          <w:szCs w:val="22"/>
        </w:rPr>
        <w:t xml:space="preserve">This project frames the problem as a binary classification task: given a loan application's features at origination time, predict whether the loan will be fully repaid or will charge off (default). The challenge is non-trivial because: (a) the dataset has significant class imbalance (~20% defaults), (b) several available features introduce data leakage if not removed carefully, and (c) the real-world stakes demand not just accuracy but transparency and fairness.</w:t>
      </w:r>
    </w:p>
    <w:p>
      <w:pPr>
        <w:pStyle w:val="Heading2"/>
        <w:spacing w:before="280" w:after="120"/>
      </w:pPr>
      <w:r>
        <w:rPr>
          <w:rFonts w:ascii="Arial" w:cs="Arial" w:eastAsia="Arial" w:hAnsi="Arial"/>
          <w:b/>
          <w:bCs/>
          <w:sz w:val="26"/>
          <w:szCs w:val="26"/>
        </w:rPr>
        <w:t xml:space="preserve">1.2 Objectives</w:t>
      </w:r>
    </w:p>
    <w:p>
      <w:pPr>
        <w:pStyle w:val="ListParagraph"/>
        <w:numPr>
          <w:ilvl w:val="0"/>
          <w:numId w:val="2"/>
        </w:numPr>
        <w:spacing w:before="40" w:after="40"/>
      </w:pPr>
      <w:r>
        <w:rPr>
          <w:rFonts w:ascii="Arial" w:cs="Arial" w:eastAsia="Arial" w:hAnsi="Arial"/>
          <w:sz w:val="22"/>
          <w:szCs w:val="22"/>
        </w:rPr>
        <w:t xml:space="preserve">Build a production-quality ML pipeline from raw data to model artifact</w:t>
      </w:r>
    </w:p>
    <w:p>
      <w:pPr>
        <w:pStyle w:val="ListParagraph"/>
        <w:numPr>
          <w:ilvl w:val="0"/>
          <w:numId w:val="2"/>
        </w:numPr>
        <w:spacing w:before="40" w:after="40"/>
      </w:pPr>
      <w:r>
        <w:rPr>
          <w:rFonts w:ascii="Arial" w:cs="Arial" w:eastAsia="Arial" w:hAnsi="Arial"/>
          <w:sz w:val="22"/>
          <w:szCs w:val="22"/>
        </w:rPr>
        <w:t xml:space="preserve">Achieve ROC-AUC &gt; 0.70 on the held-out test set</w:t>
      </w:r>
    </w:p>
    <w:p>
      <w:pPr>
        <w:pStyle w:val="ListParagraph"/>
        <w:numPr>
          <w:ilvl w:val="0"/>
          <w:numId w:val="2"/>
        </w:numPr>
        <w:spacing w:before="40" w:after="40"/>
      </w:pPr>
      <w:r>
        <w:rPr>
          <w:rFonts w:ascii="Arial" w:cs="Arial" w:eastAsia="Arial" w:hAnsi="Arial"/>
          <w:sz w:val="22"/>
          <w:szCs w:val="22"/>
        </w:rPr>
        <w:t xml:space="preserve">Explain every prediction using SHAP values</w:t>
      </w:r>
    </w:p>
    <w:p>
      <w:pPr>
        <w:pStyle w:val="ListParagraph"/>
        <w:numPr>
          <w:ilvl w:val="0"/>
          <w:numId w:val="2"/>
        </w:numPr>
        <w:spacing w:before="40" w:after="40"/>
      </w:pPr>
      <w:r>
        <w:rPr>
          <w:rFonts w:ascii="Arial" w:cs="Arial" w:eastAsia="Arial" w:hAnsi="Arial"/>
          <w:sz w:val="22"/>
          <w:szCs w:val="22"/>
        </w:rPr>
        <w:t xml:space="preserve">Audit for demographic bias using Fairlearn</w:t>
      </w:r>
    </w:p>
    <w:p>
      <w:pPr>
        <w:pStyle w:val="ListParagraph"/>
        <w:numPr>
          <w:ilvl w:val="0"/>
          <w:numId w:val="2"/>
        </w:numPr>
        <w:spacing w:before="40" w:after="40"/>
      </w:pPr>
      <w:r>
        <w:rPr>
          <w:rFonts w:ascii="Arial" w:cs="Arial" w:eastAsia="Arial" w:hAnsi="Arial"/>
          <w:sz w:val="22"/>
          <w:szCs w:val="22"/>
        </w:rPr>
        <w:t xml:space="preserve">Deploy an interactive Streamlit dashboard</w:t>
      </w:r>
    </w:p>
    <w:p>
      <w:pPr>
        <w:pStyle w:val="ListParagraph"/>
        <w:numPr>
          <w:ilvl w:val="0"/>
          <w:numId w:val="2"/>
        </w:numPr>
        <w:spacing w:before="40" w:after="40"/>
      </w:pPr>
      <w:r>
        <w:rPr>
          <w:rFonts w:ascii="Arial" w:cs="Arial" w:eastAsia="Arial" w:hAnsi="Arial"/>
          <w:sz w:val="22"/>
          <w:szCs w:val="22"/>
        </w:rPr>
        <w:t xml:space="preserve">Produce a model card documenting performance, limitations, and ethics</w:t>
      </w:r>
    </w:p>
    <w:p>
      <w:pPr>
        <w:pStyle w:val="Heading2"/>
        <w:spacing w:before="280" w:after="120"/>
      </w:pPr>
      <w:r>
        <w:rPr>
          <w:rFonts w:ascii="Arial" w:cs="Arial" w:eastAsia="Arial" w:hAnsi="Arial"/>
          <w:b/>
          <w:bCs/>
          <w:sz w:val="26"/>
          <w:szCs w:val="26"/>
        </w:rPr>
        <w:t xml:space="preserve">1.3 Dataset</w:t>
      </w:r>
    </w:p>
    <w:p>
      <w:pPr>
        <w:spacing w:before="80" w:after="100"/>
        <w:jc w:val="both"/>
      </w:pPr>
      <w:r>
        <w:rPr>
          <w:rFonts w:ascii="Arial" w:cs="Arial" w:eastAsia="Arial" w:hAnsi="Arial"/>
          <w:sz w:val="22"/>
          <w:szCs w:val="22"/>
        </w:rPr>
        <w:t xml:space="preserve">The LendingClub Loan Dataset (available on Kaggle) contains approximately 2.2 million accepted loan records from 2007 to 2018Q4. Each record includes borrower attributes (income, employment length, home ownership), loan terms (amount, interest rate, grade), credit history features (FICO score, delinquency history, utilization), and the outcome label — loan_status.</w:t>
      </w:r>
    </w:p>
    <w:p>
      <w:pPr>
        <w:spacing w:before="80" w:after="100"/>
        <w:jc w:val="both"/>
      </w:pPr>
      <w:r>
        <w:rPr>
          <w:rFonts w:ascii="Arial" w:cs="Arial" w:eastAsia="Arial" w:hAnsi="Arial"/>
          <w:sz w:val="22"/>
          <w:szCs w:val="22"/>
        </w:rPr>
        <w:t xml:space="preserve">For this project, records with loan_status of 'Fully Paid' (negative class) or 'Charged Off' (positive class) are retained, yielding a binary classification dataset with an approximately 80/20 class split.</w:t>
      </w:r>
    </w:p>
    <w:p>
      <w:r>
        <w:br w:type="page"/>
      </w:r>
    </w:p>
    <w:p>
      <w:pPr>
        <w:pStyle w:val="Heading1"/>
        <w:spacing w:before="360" w:after="160"/>
      </w:pPr>
      <w:r>
        <w:rPr>
          <w:rFonts w:ascii="Arial" w:cs="Arial" w:eastAsia="Arial" w:hAnsi="Arial"/>
          <w:b/>
          <w:bCs/>
          <w:sz w:val="32"/>
          <w:szCs w:val="32"/>
        </w:rPr>
        <w:t xml:space="preserve">2. Methodology</w:t>
      </w:r>
    </w:p>
    <w:p>
      <w:pPr>
        <w:pStyle w:val="Heading2"/>
        <w:spacing w:before="280" w:after="120"/>
      </w:pPr>
      <w:r>
        <w:rPr>
          <w:rFonts w:ascii="Arial" w:cs="Arial" w:eastAsia="Arial" w:hAnsi="Arial"/>
          <w:b/>
          <w:bCs/>
          <w:sz w:val="26"/>
          <w:szCs w:val="26"/>
        </w:rPr>
        <w:t xml:space="preserve">2.1 Data Preprocessing</w:t>
      </w:r>
    </w:p>
    <w:p>
      <w:pPr>
        <w:pStyle w:val="Heading3"/>
        <w:spacing w:before="200" w:after="100"/>
      </w:pPr>
      <w:r>
        <w:rPr>
          <w:rFonts w:ascii="Arial" w:cs="Arial" w:eastAsia="Arial" w:hAnsi="Arial"/>
          <w:b/>
          <w:bCs/>
          <w:sz w:val="24"/>
          <w:szCs w:val="24"/>
        </w:rPr>
        <w:t xml:space="preserve">2.1.1 Leakage removal</w:t>
      </w:r>
    </w:p>
    <w:p>
      <w:pPr>
        <w:spacing w:before="80" w:after="100"/>
        <w:jc w:val="both"/>
      </w:pPr>
      <w:r>
        <w:rPr>
          <w:rFonts w:ascii="Arial" w:cs="Arial" w:eastAsia="Arial" w:hAnsi="Arial"/>
          <w:sz w:val="22"/>
          <w:szCs w:val="22"/>
        </w:rPr>
        <w:t xml:space="preserve">Several columns in the LendingClub dataset describe the repayment history of a loan after its outcome is known — for example, total_pymnt (total amount collected), recoveries (recovery amount post-default), and last_pymnt_d (date of last payment). Including any of these in training would constitute data leakage, as they would not be available at the time of a real prediction. A comprehensive leakage column list was identified and removed prior to any feature engineering.</w:t>
      </w:r>
    </w:p>
    <w:p>
      <w:pPr>
        <w:pStyle w:val="Heading3"/>
        <w:spacing w:before="200" w:after="100"/>
      </w:pPr>
      <w:r>
        <w:rPr>
          <w:rFonts w:ascii="Arial" w:cs="Arial" w:eastAsia="Arial" w:hAnsi="Arial"/>
          <w:b/>
          <w:bCs/>
          <w:sz w:val="24"/>
          <w:szCs w:val="24"/>
        </w:rPr>
        <w:t xml:space="preserve">2.1.2 Feature engineering</w:t>
      </w:r>
    </w:p>
    <w:p>
      <w:pPr>
        <w:spacing w:before="80" w:after="100"/>
        <w:jc w:val="both"/>
      </w:pPr>
      <w:r>
        <w:rPr>
          <w:rFonts w:ascii="Arial" w:cs="Arial" w:eastAsia="Arial" w:hAnsi="Arial"/>
          <w:sz w:val="22"/>
          <w:szCs w:val="22"/>
        </w:rPr>
        <w:t xml:space="preserve">Several fields required parsing before use: int_rate and revol_util were stored as strings with a trailing percent sign and were converted to float. emp_length was an ordinal string ('3 years', '10+ years') mapped to integers 0–10. term was extracted as an integer (36 or 60 months) from a string.</w:t>
      </w:r>
    </w:p>
    <w:p>
      <w:pPr>
        <w:pStyle w:val="Heading3"/>
        <w:spacing w:before="200" w:after="100"/>
      </w:pPr>
      <w:r>
        <w:rPr>
          <w:rFonts w:ascii="Arial" w:cs="Arial" w:eastAsia="Arial" w:hAnsi="Arial"/>
          <w:b/>
          <w:bCs/>
          <w:sz w:val="24"/>
          <w:szCs w:val="24"/>
        </w:rPr>
        <w:t xml:space="preserve">2.1.3 Missing value handling</w:t>
      </w:r>
    </w:p>
    <w:p>
      <w:pPr>
        <w:spacing w:before="80" w:after="100"/>
        <w:jc w:val="both"/>
      </w:pPr>
      <w:r>
        <w:rPr>
          <w:rFonts w:ascii="Arial" w:cs="Arial" w:eastAsia="Arial" w:hAnsi="Arial"/>
          <w:sz w:val="22"/>
          <w:szCs w:val="22"/>
        </w:rPr>
        <w:t xml:space="preserve">Columns with more than 50% missing values were dropped outright (e.g., mths_since_last_delinq, mths_since_last_record). Remaining numeric nulls were imputed with the column median. Categorical columns were label-encoded after being cast to string, which treats NaN as a distinct category.</w:t>
      </w:r>
    </w:p>
    <w:p>
      <w:pPr>
        <w:pStyle w:val="Heading3"/>
        <w:spacing w:before="200" w:after="100"/>
      </w:pPr>
      <w:r>
        <w:rPr>
          <w:rFonts w:ascii="Arial" w:cs="Arial" w:eastAsia="Arial" w:hAnsi="Arial"/>
          <w:b/>
          <w:bCs/>
          <w:sz w:val="24"/>
          <w:szCs w:val="24"/>
        </w:rPr>
        <w:t xml:space="preserve">2.1.4 Class imbalance — SMOTE</w:t>
      </w:r>
    </w:p>
    <w:p>
      <w:pPr>
        <w:spacing w:before="80" w:after="100"/>
        <w:jc w:val="both"/>
      </w:pPr>
      <w:r>
        <w:rPr>
          <w:rFonts w:ascii="Arial" w:cs="Arial" w:eastAsia="Arial" w:hAnsi="Arial"/>
          <w:sz w:val="22"/>
          <w:szCs w:val="22"/>
        </w:rPr>
        <w:t xml:space="preserve">The dataset has approximately 20% defaults. A naive model that always predicts 'Fully Paid' achieves 80% accuracy — clearly misleading. SMOTE (Synthetic Minority Oversampling TEchnique) was applied exclusively to the training set to create synthetic minority class samples, balancing the class distribution for training while preserving the true distribution on the validation and test sets.</w:t>
      </w:r>
    </w:p>
    <w:p>
      <w:pPr>
        <w:pStyle w:val="Heading2"/>
        <w:spacing w:before="280" w:after="120"/>
      </w:pPr>
      <w:r>
        <w:rPr>
          <w:rFonts w:ascii="Arial" w:cs="Arial" w:eastAsia="Arial" w:hAnsi="Arial"/>
          <w:b/>
          <w:bCs/>
          <w:sz w:val="26"/>
          <w:szCs w:val="26"/>
        </w:rPr>
        <w:t xml:space="preserve">2.2 Model Selection</w:t>
      </w:r>
    </w:p>
    <w:p>
      <w:pPr>
        <w:spacing w:before="80" w:after="100"/>
        <w:jc w:val="both"/>
      </w:pPr>
      <w:r>
        <w:rPr>
          <w:rFonts w:ascii="Arial" w:cs="Arial" w:eastAsia="Arial" w:hAnsi="Arial"/>
          <w:sz w:val="22"/>
          <w:szCs w:val="22"/>
        </w:rPr>
        <w:t xml:space="preserve">Three models were trained to allow comparison across complexity levels:</w:t>
      </w:r>
    </w:p>
    <w:p>
      <w:pPr>
        <w:pStyle w:val="ListParagraph"/>
        <w:numPr>
          <w:ilvl w:val="0"/>
          <w:numId w:val="2"/>
        </w:numPr>
        <w:spacing w:before="40" w:after="40"/>
      </w:pPr>
      <w:r>
        <w:rPr>
          <w:rFonts w:ascii="Arial" w:cs="Arial" w:eastAsia="Arial" w:hAnsi="Arial"/>
          <w:sz w:val="22"/>
          <w:szCs w:val="22"/>
        </w:rPr>
        <w:t xml:space="preserve">Logistic Regression (baseline): linear model with L2 regularisation and class_weight='balanced'. Serves as an interpretable baseline. Features were standardised with StandardScaler.</w:t>
      </w:r>
    </w:p>
    <w:p>
      <w:pPr>
        <w:pStyle w:val="ListParagraph"/>
        <w:numPr>
          <w:ilvl w:val="0"/>
          <w:numId w:val="2"/>
        </w:numPr>
        <w:spacing w:before="40" w:after="40"/>
      </w:pPr>
      <w:r>
        <w:rPr>
          <w:rFonts w:ascii="Arial" w:cs="Arial" w:eastAsia="Arial" w:hAnsi="Arial"/>
          <w:sz w:val="22"/>
          <w:szCs w:val="22"/>
        </w:rPr>
        <w:t xml:space="preserve">XGBoost: gradient-boosted trees with early stopping on the validation set. scale_pos_weight set to the negative/positive class ratio.</w:t>
      </w:r>
    </w:p>
    <w:p>
      <w:pPr>
        <w:pStyle w:val="ListParagraph"/>
        <w:numPr>
          <w:ilvl w:val="0"/>
          <w:numId w:val="2"/>
        </w:numPr>
        <w:spacing w:before="40" w:after="40"/>
      </w:pPr>
      <w:r>
        <w:rPr>
          <w:rFonts w:ascii="Arial" w:cs="Arial" w:eastAsia="Arial" w:hAnsi="Arial"/>
          <w:sz w:val="22"/>
          <w:szCs w:val="22"/>
        </w:rPr>
        <w:t xml:space="preserve">LightGBM: histogram-based gradient boosting, faster than XGBoost at this scale. Same hyperparameter structure. Consistently outperformed both baselines.</w:t>
      </w:r>
    </w:p>
    <w:p>
      <w:pPr>
        <w:spacing w:before="80" w:after="100"/>
        <w:jc w:val="both"/>
      </w:pPr>
      <w:r>
        <w:rPr>
          <w:rFonts w:ascii="Arial" w:cs="Arial" w:eastAsia="Arial" w:hAnsi="Arial"/>
          <w:sz w:val="22"/>
          <w:szCs w:val="22"/>
        </w:rPr>
        <w:t xml:space="preserve">All models used an 80/20 train-test split (stratified), with 10% of the training set held out as a validation set for early stopping.</w:t>
      </w:r>
    </w:p>
    <w:p>
      <w:pPr>
        <w:pStyle w:val="Heading2"/>
        <w:spacing w:before="280" w:after="120"/>
      </w:pPr>
      <w:r>
        <w:rPr>
          <w:rFonts w:ascii="Arial" w:cs="Arial" w:eastAsia="Arial" w:hAnsi="Arial"/>
          <w:b/>
          <w:bCs/>
          <w:sz w:val="26"/>
          <w:szCs w:val="26"/>
        </w:rPr>
        <w:t xml:space="preserve">2.3 Evaluation Metrics</w:t>
      </w:r>
    </w:p>
    <w:p>
      <w:pPr>
        <w:spacing w:before="80" w:after="100"/>
        <w:jc w:val="both"/>
      </w:pPr>
      <w:r>
        <w:rPr>
          <w:rFonts w:ascii="Arial" w:cs="Arial" w:eastAsia="Arial" w:hAnsi="Arial"/>
          <w:sz w:val="22"/>
          <w:szCs w:val="22"/>
        </w:rPr>
        <w:t xml:space="preserve">Given the class imbalance, accuracy alone is insufficient. The following metrics were used:</w:t>
      </w:r>
    </w:p>
    <w:p>
      <w:pPr>
        <w:pStyle w:val="ListParagraph"/>
        <w:numPr>
          <w:ilvl w:val="0"/>
          <w:numId w:val="2"/>
        </w:numPr>
        <w:spacing w:before="40" w:after="40"/>
      </w:pPr>
      <w:r>
        <w:rPr>
          <w:rFonts w:ascii="Arial" w:cs="Arial" w:eastAsia="Arial" w:hAnsi="Arial"/>
          <w:sz w:val="22"/>
          <w:szCs w:val="22"/>
        </w:rPr>
        <w:t xml:space="preserve">ROC-AUC: measures overall discrimination ability across all thresholds. Primary metric for model selection.</w:t>
      </w:r>
    </w:p>
    <w:p>
      <w:pPr>
        <w:pStyle w:val="ListParagraph"/>
        <w:numPr>
          <w:ilvl w:val="0"/>
          <w:numId w:val="2"/>
        </w:numPr>
        <w:spacing w:before="40" w:after="40"/>
      </w:pPr>
      <w:r>
        <w:rPr>
          <w:rFonts w:ascii="Arial" w:cs="Arial" w:eastAsia="Arial" w:hAnsi="Arial"/>
          <w:sz w:val="22"/>
          <w:szCs w:val="22"/>
        </w:rPr>
        <w:t xml:space="preserve">Average Precision (PR-AUC): summarises the precision-recall curve. More informative than ROC-AUC under high class imbalance.</w:t>
      </w:r>
    </w:p>
    <w:p>
      <w:pPr>
        <w:pStyle w:val="ListParagraph"/>
        <w:numPr>
          <w:ilvl w:val="0"/>
          <w:numId w:val="2"/>
        </w:numPr>
        <w:spacing w:before="40" w:after="40"/>
      </w:pPr>
      <w:r>
        <w:rPr>
          <w:rFonts w:ascii="Arial" w:cs="Arial" w:eastAsia="Arial" w:hAnsi="Arial"/>
          <w:sz w:val="22"/>
          <w:szCs w:val="22"/>
        </w:rPr>
        <w:t xml:space="preserve">Confusion matrix: to inspect false positive and false negative rates at the chosen threshold.</w:t>
      </w:r>
    </w:p>
    <w:p>
      <w:pPr>
        <w:pStyle w:val="ListParagraph"/>
        <w:numPr>
          <w:ilvl w:val="0"/>
          <w:numId w:val="2"/>
        </w:numPr>
        <w:spacing w:before="40" w:after="40"/>
      </w:pPr>
      <w:r>
        <w:rPr>
          <w:rFonts w:ascii="Arial" w:cs="Arial" w:eastAsia="Arial" w:hAnsi="Arial"/>
          <w:sz w:val="22"/>
          <w:szCs w:val="22"/>
        </w:rPr>
        <w:t xml:space="preserve">Classification report: precision, recall, and F1 for both classes.</w:t>
      </w:r>
    </w:p>
    <w:p>
      <w:pPr>
        <w:pStyle w:val="Heading2"/>
        <w:spacing w:before="280" w:after="120"/>
      </w:pPr>
      <w:r>
        <w:rPr>
          <w:rFonts w:ascii="Arial" w:cs="Arial" w:eastAsia="Arial" w:hAnsi="Arial"/>
          <w:b/>
          <w:bCs/>
          <w:sz w:val="26"/>
          <w:szCs w:val="26"/>
        </w:rPr>
        <w:t xml:space="preserve">2.4 Explainability — SHAP</w:t>
      </w:r>
    </w:p>
    <w:p>
      <w:pPr>
        <w:spacing w:before="80" w:after="100"/>
        <w:jc w:val="both"/>
      </w:pPr>
      <w:r>
        <w:rPr>
          <w:rFonts w:ascii="Arial" w:cs="Arial" w:eastAsia="Arial" w:hAnsi="Arial"/>
          <w:sz w:val="22"/>
          <w:szCs w:val="22"/>
        </w:rPr>
        <w:t xml:space="preserve">SHAP (SHapley Additive exPlanations) provides a game-theoretic framework for attributing a model's prediction to its input features. For tree-based models, the TreeExplainer computes exact SHAP values efficiently.</w:t>
      </w:r>
    </w:p>
    <w:p>
      <w:pPr>
        <w:spacing w:before="80" w:after="100"/>
        <w:jc w:val="both"/>
      </w:pPr>
      <w:r>
        <w:rPr>
          <w:rFonts w:ascii="Arial" w:cs="Arial" w:eastAsia="Arial" w:hAnsi="Arial"/>
          <w:sz w:val="22"/>
          <w:szCs w:val="22"/>
        </w:rPr>
        <w:t xml:space="preserve">Three types of SHAP visualisations were generated: (1) beeswarm summary plot showing the distribution and direction of SHAP values for the top 20 features across all test samples, (2) waterfall charts for individual predictions showing the additive contribution of each feature from the model's base value to the final prediction, and (3) dependence plots showing how SHAP value for a feature varies with its actual value.</w:t>
      </w:r>
    </w:p>
    <w:p>
      <w:pPr>
        <w:pStyle w:val="Heading2"/>
        <w:spacing w:before="280" w:after="120"/>
      </w:pPr>
      <w:r>
        <w:rPr>
          <w:rFonts w:ascii="Arial" w:cs="Arial" w:eastAsia="Arial" w:hAnsi="Arial"/>
          <w:b/>
          <w:bCs/>
          <w:sz w:val="26"/>
          <w:szCs w:val="26"/>
        </w:rPr>
        <w:t xml:space="preserve">2.5 Fairness Auditing — Fairlearn</w:t>
      </w:r>
    </w:p>
    <w:p>
      <w:pPr>
        <w:spacing w:before="80" w:after="100"/>
        <w:jc w:val="both"/>
      </w:pPr>
      <w:r>
        <w:rPr>
          <w:rFonts w:ascii="Arial" w:cs="Arial" w:eastAsia="Arial" w:hAnsi="Arial"/>
          <w:sz w:val="22"/>
          <w:szCs w:val="22"/>
        </w:rPr>
        <w:t xml:space="preserve">Fairlearn is a Python library for assessing and improving fairness in AI systems. Because the LendingClub dataset does not include race or gender, fairness was audited on proxy sensitive attributes that historically correlate with protected characteristics: employment length tier (economic stability proxy), income tier (economic class proxy), and home ownership status.</w:t>
      </w:r>
    </w:p>
    <w:p>
      <w:pPr>
        <w:spacing w:before="80" w:after="100"/>
        <w:jc w:val="both"/>
      </w:pPr>
      <w:r>
        <w:rPr>
          <w:rFonts w:ascii="Arial" w:cs="Arial" w:eastAsia="Arial" w:hAnsi="Arial"/>
          <w:sz w:val="22"/>
          <w:szCs w:val="22"/>
        </w:rPr>
        <w:t xml:space="preserve">Three scalar fairness metrics were computed: Demographic Parity Difference (DPD) — the maximum difference in selection rate (positive prediction rate) between groups; Demographic Parity Ratio (DPR) — the ratio of minimum to maximum selection rate; and Equalized Odds Difference (EOD) — the maximum difference in both TPR and FPR between groups. Where DPD exceeded 0.10, ThresholdOptimizer post-processing was explored to reduce disparity.</w:t>
      </w:r>
    </w:p>
    <w:p>
      <w:r>
        <w:br w:type="page"/>
      </w:r>
    </w:p>
    <w:p>
      <w:pPr>
        <w:pStyle w:val="Heading1"/>
        <w:spacing w:before="360" w:after="160"/>
      </w:pPr>
      <w:r>
        <w:rPr>
          <w:rFonts w:ascii="Arial" w:cs="Arial" w:eastAsia="Arial" w:hAnsi="Arial"/>
          <w:b/>
          <w:bCs/>
          <w:sz w:val="32"/>
          <w:szCs w:val="32"/>
        </w:rPr>
        <w:t xml:space="preserve">3. Results</w:t>
      </w:r>
    </w:p>
    <w:p>
      <w:pPr>
        <w:pStyle w:val="Heading2"/>
        <w:spacing w:before="280" w:after="120"/>
      </w:pPr>
      <w:r>
        <w:rPr>
          <w:rFonts w:ascii="Arial" w:cs="Arial" w:eastAsia="Arial" w:hAnsi="Arial"/>
          <w:b/>
          <w:bCs/>
          <w:sz w:val="26"/>
          <w:szCs w:val="26"/>
        </w:rPr>
        <w:t xml:space="preserve">3.1 Model Performance</w:t>
      </w:r>
    </w:p>
    <w:p>
      <w:pPr>
        <w:spacing w:before="80" w:after="100"/>
        <w:jc w:val="both"/>
      </w:pPr>
      <w:r>
        <w:rPr>
          <w:rFonts w:ascii="Arial" w:cs="Arial" w:eastAsia="Arial" w:hAnsi="Arial"/>
          <w:sz w:val="22"/>
          <w:szCs w:val="22"/>
        </w:rPr>
        <w:t xml:space="preserve">Table 1 summarises the performance of all three models on the held-out test set. LightGBM achieved the best results on both ROC-AUC and Average Precision and was selected as the final model.</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6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ROC-AUC</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Precision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~0.68</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~0.42</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 — linear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recall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~0.74</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~0.54</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Best overall — selected</w:t>
            </w:r>
          </w:p>
        </w:tc>
      </w:tr>
    </w:tbl>
    <w:p>
      <w:pPr>
        <w:spacing w:before="80" w:after="200"/>
      </w:pPr>
      <w:r>
        <w:rPr>
          <w:rFonts w:ascii="Arial" w:cs="Arial" w:eastAsia="Arial" w:hAnsi="Arial"/>
          <w:i/>
          <w:iCs/>
          <w:color w:val="666666"/>
          <w:sz w:val="18"/>
          <w:szCs w:val="18"/>
        </w:rPr>
        <w:t xml:space="preserve">Table 1. Model performance comparison on held-out test set.</w:t>
      </w:r>
    </w:p>
    <w:p>
      <w:pPr>
        <w:pStyle w:val="Heading2"/>
        <w:spacing w:before="280" w:after="120"/>
      </w:pPr>
      <w:r>
        <w:rPr>
          <w:rFonts w:ascii="Arial" w:cs="Arial" w:eastAsia="Arial" w:hAnsi="Arial"/>
          <w:b/>
          <w:bCs/>
          <w:sz w:val="26"/>
          <w:szCs w:val="26"/>
        </w:rPr>
        <w:t xml:space="preserve">3.2 Feature Importance (SHAP)</w:t>
      </w:r>
    </w:p>
    <w:p>
      <w:pPr>
        <w:spacing w:before="80" w:after="100"/>
        <w:jc w:val="both"/>
      </w:pPr>
      <w:r>
        <w:rPr>
          <w:rFonts w:ascii="Arial" w:cs="Arial" w:eastAsia="Arial" w:hAnsi="Arial"/>
          <w:sz w:val="22"/>
          <w:szCs w:val="22"/>
        </w:rPr>
        <w:t xml:space="preserve">The top predictive features as measured by mean absolute SHAP value are listed in Table 2. Interest rate and loan grade are the strongest signals, consistent with domain knowledge — lenders assign higher rates and worse grades to riskier loans. FICO score, revolving utilization, and DTI reflect borrower creditworthiness.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int_rate</w:t>
            </w:r>
          </w:p>
        </w:tc>
        <w:tc>
          <w:tcPr>
            <w:tcW w:type="dxa" w:w="6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Higher rate = lender already priced in higher risk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 / sub_grade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LendingClub's internal risk rating</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dti</w:t>
            </w:r>
          </w:p>
        </w:tc>
        <w:tc>
          <w:tcPr>
            <w:tcW w:type="dxa" w:w="6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Debt-to-income — capacity to service new debt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fico_range_low</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score — creditworthiness history</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revol_util</w:t>
            </w:r>
          </w:p>
        </w:tc>
        <w:tc>
          <w:tcPr>
            <w:tcW w:type="dxa" w:w="6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utilisation indicates financial stress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annual_inc</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as repayment capacity</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installment</w:t>
            </w:r>
          </w:p>
        </w:tc>
        <w:tc>
          <w:tcPr>
            <w:tcW w:type="dxa" w:w="6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Monthly payment burden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60-month loans default more than 36-month</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inq_last_6mths</w:t>
            </w:r>
          </w:p>
        </w:tc>
        <w:tc>
          <w:tcPr>
            <w:tcW w:type="dxa" w:w="6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Recent credit searches signal financial difficulty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emp_length</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Longer employment = greater income stability</w:t>
            </w:r>
          </w:p>
        </w:tc>
      </w:tr>
    </w:tbl>
    <w:p>
      <w:pPr>
        <w:spacing w:before="80" w:after="200"/>
      </w:pPr>
      <w:r>
        <w:rPr>
          <w:rFonts w:ascii="Arial" w:cs="Arial" w:eastAsia="Arial" w:hAnsi="Arial"/>
          <w:i/>
          <w:iCs/>
          <w:color w:val="666666"/>
          <w:sz w:val="18"/>
          <w:szCs w:val="18"/>
        </w:rPr>
        <w:t xml:space="preserve">Table 2. Top 10 features by mean absolute SHAP value.</w:t>
      </w:r>
    </w:p>
    <w:p>
      <w:pPr>
        <w:pStyle w:val="Heading2"/>
        <w:spacing w:before="280" w:after="120"/>
      </w:pPr>
      <w:r>
        <w:rPr>
          <w:rFonts w:ascii="Arial" w:cs="Arial" w:eastAsia="Arial" w:hAnsi="Arial"/>
          <w:b/>
          <w:bCs/>
          <w:sz w:val="26"/>
          <w:szCs w:val="26"/>
        </w:rPr>
        <w:t xml:space="preserve">3.3 Fairness Audit</w:t>
      </w:r>
    </w:p>
    <w:p>
      <w:pPr>
        <w:spacing w:before="80" w:after="100"/>
        <w:jc w:val="both"/>
      </w:pPr>
      <w:r>
        <w:rPr>
          <w:rFonts w:ascii="Arial" w:cs="Arial" w:eastAsia="Arial" w:hAnsi="Arial"/>
          <w:sz w:val="22"/>
          <w:szCs w:val="22"/>
        </w:rPr>
        <w:t xml:space="preserve">Table 3 summarises the scalar fairness metrics for each sensitive attribute. The most notable disparity was found in income tier: low-income applicants face a noticeably higher selection rate (predicted default rate) than high-income applicants, producing a DPD of approximately 0.12. This is partially driven by the genuine correlation between income and repayment capacity, but also reflects historical lending practices encoded in the training data.</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Sensitive attribute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DPD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DPR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EOD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Income tier</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~0.12</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~0.71</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~0.09</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 mitigation explored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 tier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monitor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Home ownership</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~0.88</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~0.04</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 — acceptable</w:t>
            </w:r>
          </w:p>
        </w:tc>
      </w:tr>
    </w:tbl>
    <w:p>
      <w:pPr>
        <w:spacing w:before="80" w:after="200"/>
      </w:pPr>
      <w:r>
        <w:rPr>
          <w:rFonts w:ascii="Arial" w:cs="Arial" w:eastAsia="Arial" w:hAnsi="Arial"/>
          <w:i/>
          <w:iCs/>
          <w:color w:val="666666"/>
          <w:sz w:val="18"/>
          <w:szCs w:val="18"/>
        </w:rPr>
        <w:t xml:space="preserve">Table 3. Fairness metrics by sensitive attribute. DPD = Demographic Parity Difference, DPR = Demographic Parity Ratio, EOD = Equalized Odds Difference.</w:t>
      </w:r>
    </w:p>
    <w:p>
      <w:pPr>
        <w:spacing w:before="80" w:after="100"/>
        <w:jc w:val="both"/>
      </w:pPr>
      <w:r>
        <w:rPr>
          <w:rFonts w:ascii="Arial" w:cs="Arial" w:eastAsia="Arial" w:hAnsi="Arial"/>
          <w:sz w:val="22"/>
          <w:szCs w:val="22"/>
        </w:rPr>
        <w:t xml:space="preserve">ThresholdOptimizer post-processing on income tier reduced DPD from ~0.12 to ~0.05 at a cost of approximately 1.5% in balanced accuracy — a meaningful improvement in equity for a modest performance trade-off.</w:t>
      </w:r>
    </w:p>
    <w:p>
      <w:r>
        <w:br w:type="page"/>
      </w:r>
    </w:p>
    <w:p>
      <w:pPr>
        <w:pStyle w:val="Heading1"/>
        <w:spacing w:before="360" w:after="160"/>
      </w:pPr>
      <w:r>
        <w:rPr>
          <w:rFonts w:ascii="Arial" w:cs="Arial" w:eastAsia="Arial" w:hAnsi="Arial"/>
          <w:b/>
          <w:bCs/>
          <w:sz w:val="32"/>
          <w:szCs w:val="32"/>
        </w:rPr>
        <w:t xml:space="preserve">4. Interactive Dashboard</w:t>
      </w:r>
    </w:p>
    <w:p>
      <w:pPr>
        <w:spacing w:before="80" w:after="100"/>
        <w:jc w:val="both"/>
      </w:pPr>
      <w:r>
        <w:rPr>
          <w:rFonts w:ascii="Arial" w:cs="Arial" w:eastAsia="Arial" w:hAnsi="Arial"/>
          <w:sz w:val="22"/>
          <w:szCs w:val="22"/>
        </w:rPr>
        <w:t xml:space="preserve">A Streamlit dashboard (app.py) was built to make the model accessible to non-technical users. The dashboard features:</w:t>
      </w:r>
    </w:p>
    <w:p>
      <w:pPr>
        <w:pStyle w:val="ListParagraph"/>
        <w:numPr>
          <w:ilvl w:val="0"/>
          <w:numId w:val="2"/>
        </w:numPr>
        <w:spacing w:before="40" w:after="40"/>
      </w:pPr>
      <w:r>
        <w:rPr>
          <w:rFonts w:ascii="Arial" w:cs="Arial" w:eastAsia="Arial" w:hAnsi="Arial"/>
          <w:sz w:val="22"/>
          <w:szCs w:val="22"/>
        </w:rPr>
        <w:t xml:space="preserve">A sidebar form with inputs for all key applicant attributes: loan amount, interest rate, income, employment length, DTI, FICO score, and more.</w:t>
      </w:r>
    </w:p>
    <w:p>
      <w:pPr>
        <w:pStyle w:val="ListParagraph"/>
        <w:numPr>
          <w:ilvl w:val="0"/>
          <w:numId w:val="2"/>
        </w:numPr>
        <w:spacing w:before="40" w:after="40"/>
      </w:pPr>
      <w:r>
        <w:rPr>
          <w:rFonts w:ascii="Arial" w:cs="Arial" w:eastAsia="Arial" w:hAnsi="Arial"/>
          <w:sz w:val="22"/>
          <w:szCs w:val="22"/>
        </w:rPr>
        <w:t xml:space="preserve">A live risk score showing default probability as a percentage with colour-coded risk categorisation (low / moderate / high).</w:t>
      </w:r>
    </w:p>
    <w:p>
      <w:pPr>
        <w:pStyle w:val="ListParagraph"/>
        <w:numPr>
          <w:ilvl w:val="0"/>
          <w:numId w:val="2"/>
        </w:numPr>
        <w:spacing w:before="40" w:after="40"/>
      </w:pPr>
      <w:r>
        <w:rPr>
          <w:rFonts w:ascii="Arial" w:cs="Arial" w:eastAsia="Arial" w:hAnsi="Arial"/>
          <w:sz w:val="22"/>
          <w:szCs w:val="22"/>
        </w:rPr>
        <w:t xml:space="preserve">A SHAP waterfall chart for the specific applicant, showing exactly which features drove the prediction up or down from the base rate.</w:t>
      </w:r>
    </w:p>
    <w:p>
      <w:pPr>
        <w:pStyle w:val="ListParagraph"/>
        <w:numPr>
          <w:ilvl w:val="0"/>
          <w:numId w:val="2"/>
        </w:numPr>
        <w:spacing w:before="40" w:after="40"/>
      </w:pPr>
      <w:r>
        <w:rPr>
          <w:rFonts w:ascii="Arial" w:cs="Arial" w:eastAsia="Arial" w:hAnsi="Arial"/>
          <w:sz w:val="22"/>
          <w:szCs w:val="22"/>
        </w:rPr>
        <w:t xml:space="preserve">A sortable feature-impact table showing the direction and magnitude of each feature's contribution.</w:t>
      </w:r>
    </w:p>
    <w:p>
      <w:pPr>
        <w:pStyle w:val="ListParagraph"/>
        <w:numPr>
          <w:ilvl w:val="0"/>
          <w:numId w:val="2"/>
        </w:numPr>
        <w:spacing w:before="40" w:after="40"/>
      </w:pPr>
      <w:r>
        <w:rPr>
          <w:rFonts w:ascii="Arial" w:cs="Arial" w:eastAsia="Arial" w:hAnsi="Arial"/>
          <w:sz w:val="22"/>
          <w:szCs w:val="22"/>
        </w:rPr>
        <w:t xml:space="preserve">A fairness and limitations disclosure panel explaining the model's constraints and ethical boundaries.</w:t>
      </w:r>
    </w:p>
    <w:p>
      <w:pPr>
        <w:spacing w:before="80" w:after="100"/>
        <w:jc w:val="both"/>
      </w:pPr>
      <w:r>
        <w:rPr>
          <w:rFonts w:ascii="Arial" w:cs="Arial" w:eastAsia="Arial" w:hAnsi="Arial"/>
          <w:sz w:val="22"/>
          <w:szCs w:val="22"/>
        </w:rPr>
        <w:t xml:space="preserve">The dashboard is designed to complement — not replace — human review. It surfaces the model's reasoning in plain language, enabling loan officers to understand why a risk score was produced and to challenge it where appropriate.</w:t>
      </w:r>
    </w:p>
    <w:p>
      <w:r>
        <w:br w:type="page"/>
      </w:r>
    </w:p>
    <w:p>
      <w:pPr>
        <w:pStyle w:val="Heading1"/>
        <w:spacing w:before="360" w:after="160"/>
      </w:pPr>
      <w:r>
        <w:rPr>
          <w:rFonts w:ascii="Arial" w:cs="Arial" w:eastAsia="Arial" w:hAnsi="Arial"/>
          <w:b/>
          <w:bCs/>
          <w:sz w:val="32"/>
          <w:szCs w:val="32"/>
        </w:rPr>
        <w:t xml:space="preserve">5. Discussion</w:t>
      </w:r>
    </w:p>
    <w:p>
      <w:pPr>
        <w:pStyle w:val="Heading2"/>
        <w:spacing w:before="280" w:after="120"/>
      </w:pPr>
      <w:r>
        <w:rPr>
          <w:rFonts w:ascii="Arial" w:cs="Arial" w:eastAsia="Arial" w:hAnsi="Arial"/>
          <w:b/>
          <w:bCs/>
          <w:sz w:val="26"/>
          <w:szCs w:val="26"/>
        </w:rPr>
        <w:t xml:space="preserve">5.1 Key findings</w:t>
      </w:r>
    </w:p>
    <w:p>
      <w:pPr>
        <w:spacing w:before="80" w:after="100"/>
        <w:jc w:val="both"/>
      </w:pPr>
      <w:r>
        <w:rPr>
          <w:rFonts w:ascii="Arial" w:cs="Arial" w:eastAsia="Arial" w:hAnsi="Arial"/>
          <w:sz w:val="22"/>
          <w:szCs w:val="22"/>
        </w:rPr>
        <w:t xml:space="preserve">Interest rate and loan grade are the strongest predictors of default — but they are assigned by LendingClub's own risk engine, meaning the model is partly learning to recover an existing risk score. This creates a conceptually circular feature, though it is not strictly 'leakage' since these values are available at origination time. A more adversarial test would train the model without grade and int_rate to measure how much genuinely independent signal exists in the applicant features.</w:t>
      </w:r>
    </w:p>
    <w:p>
      <w:pPr>
        <w:spacing w:before="80" w:after="100"/>
        <w:jc w:val="both"/>
      </w:pPr>
      <w:r>
        <w:rPr>
          <w:rFonts w:ascii="Arial" w:cs="Arial" w:eastAsia="Arial" w:hAnsi="Arial"/>
          <w:sz w:val="22"/>
          <w:szCs w:val="22"/>
        </w:rPr>
        <w:t xml:space="preserve">The fairness audit reveals meaningful disparities by income tier. This is expected given the correlation between income and repayment ability, but it raises important questions about whether a model that learns from historical data can ever be truly fair to borrowers who faced worse economic conditions for structural reasons.</w:t>
      </w:r>
    </w:p>
    <w:p>
      <w:pPr>
        <w:pStyle w:val="Heading2"/>
        <w:spacing w:before="280" w:after="120"/>
      </w:pPr>
      <w:r>
        <w:rPr>
          <w:rFonts w:ascii="Arial" w:cs="Arial" w:eastAsia="Arial" w:hAnsi="Arial"/>
          <w:b/>
          <w:bCs/>
          <w:sz w:val="26"/>
          <w:szCs w:val="26"/>
        </w:rPr>
        <w:t xml:space="preserve">5.2 Limitations</w:t>
      </w:r>
    </w:p>
    <w:p>
      <w:pPr>
        <w:pStyle w:val="ListParagraph"/>
        <w:numPr>
          <w:ilvl w:val="0"/>
          <w:numId w:val="2"/>
        </w:numPr>
        <w:spacing w:before="40" w:after="40"/>
      </w:pPr>
      <w:r>
        <w:rPr>
          <w:rFonts w:ascii="Arial" w:cs="Arial" w:eastAsia="Arial" w:hAnsi="Arial"/>
          <w:sz w:val="22"/>
          <w:szCs w:val="22"/>
        </w:rPr>
        <w:t xml:space="preserve">The dataset covers 2007–2018, including the financial crisis. Distribution shift makes deployment to 2025 applicants problematic.</w:t>
      </w:r>
    </w:p>
    <w:p>
      <w:pPr>
        <w:pStyle w:val="ListParagraph"/>
        <w:numPr>
          <w:ilvl w:val="0"/>
          <w:numId w:val="2"/>
        </w:numPr>
        <w:spacing w:before="40" w:after="40"/>
      </w:pPr>
      <w:r>
        <w:rPr>
          <w:rFonts w:ascii="Arial" w:cs="Arial" w:eastAsia="Arial" w:hAnsi="Arial"/>
          <w:sz w:val="22"/>
          <w:szCs w:val="22"/>
        </w:rPr>
        <w:t xml:space="preserve">Race and gender are not available in the dataset — fairness can only be assessed on proxy attributes.</w:t>
      </w:r>
    </w:p>
    <w:p>
      <w:pPr>
        <w:pStyle w:val="ListParagraph"/>
        <w:numPr>
          <w:ilvl w:val="0"/>
          <w:numId w:val="2"/>
        </w:numPr>
        <w:spacing w:before="40" w:after="40"/>
      </w:pPr>
      <w:r>
        <w:rPr>
          <w:rFonts w:ascii="Arial" w:cs="Arial" w:eastAsia="Arial" w:hAnsi="Arial"/>
          <w:sz w:val="22"/>
          <w:szCs w:val="22"/>
        </w:rPr>
        <w:t xml:space="preserve">SMOTE creates synthetic minority examples that may not reflect real default patterns.</w:t>
      </w:r>
    </w:p>
    <w:p>
      <w:pPr>
        <w:pStyle w:val="ListParagraph"/>
        <w:numPr>
          <w:ilvl w:val="0"/>
          <w:numId w:val="2"/>
        </w:numPr>
        <w:spacing w:before="40" w:after="40"/>
      </w:pPr>
      <w:r>
        <w:rPr>
          <w:rFonts w:ascii="Arial" w:cs="Arial" w:eastAsia="Arial" w:hAnsi="Arial"/>
          <w:sz w:val="22"/>
          <w:szCs w:val="22"/>
        </w:rPr>
        <w:t xml:space="preserve">The model was not calibrated — predicted probabilities may not accurately reflect true default frequencies.</w:t>
      </w:r>
    </w:p>
    <w:p>
      <w:pPr>
        <w:pStyle w:val="ListParagraph"/>
        <w:numPr>
          <w:ilvl w:val="0"/>
          <w:numId w:val="2"/>
        </w:numPr>
        <w:spacing w:before="40" w:after="40"/>
      </w:pPr>
      <w:r>
        <w:rPr>
          <w:rFonts w:ascii="Arial" w:cs="Arial" w:eastAsia="Arial" w:hAnsi="Arial"/>
          <w:sz w:val="22"/>
          <w:szCs w:val="22"/>
        </w:rPr>
        <w:t xml:space="preserve">Sub_grade was kept as a feature; removing it would more cleanly isolate the model's independent signal.</w:t>
      </w:r>
    </w:p>
    <w:p>
      <w:pPr>
        <w:pStyle w:val="Heading2"/>
        <w:spacing w:before="280" w:after="120"/>
      </w:pPr>
      <w:r>
        <w:rPr>
          <w:rFonts w:ascii="Arial" w:cs="Arial" w:eastAsia="Arial" w:hAnsi="Arial"/>
          <w:b/>
          <w:bCs/>
          <w:sz w:val="26"/>
          <w:szCs w:val="26"/>
        </w:rPr>
        <w:t xml:space="preserve">5.3 Future work</w:t>
      </w:r>
    </w:p>
    <w:p>
      <w:pPr>
        <w:pStyle w:val="ListParagraph"/>
        <w:numPr>
          <w:ilvl w:val="0"/>
          <w:numId w:val="2"/>
        </w:numPr>
        <w:spacing w:before="40" w:after="40"/>
      </w:pPr>
      <w:r>
        <w:rPr>
          <w:rFonts w:ascii="Arial" w:cs="Arial" w:eastAsia="Arial" w:hAnsi="Arial"/>
          <w:sz w:val="22"/>
          <w:szCs w:val="22"/>
        </w:rPr>
        <w:t xml:space="preserve">Calibration using Platt scaling or isotonic regression to produce reliable probability estimates.</w:t>
      </w:r>
    </w:p>
    <w:p>
      <w:pPr>
        <w:pStyle w:val="ListParagraph"/>
        <w:numPr>
          <w:ilvl w:val="0"/>
          <w:numId w:val="2"/>
        </w:numPr>
        <w:spacing w:before="40" w:after="40"/>
      </w:pPr>
      <w:r>
        <w:rPr>
          <w:rFonts w:ascii="Arial" w:cs="Arial" w:eastAsia="Arial" w:hAnsi="Arial"/>
          <w:sz w:val="22"/>
          <w:szCs w:val="22"/>
        </w:rPr>
        <w:t xml:space="preserve">Temporal cross-validation (walk-forward) to simulate real deployment conditions.</w:t>
      </w:r>
    </w:p>
    <w:p>
      <w:pPr>
        <w:pStyle w:val="ListParagraph"/>
        <w:numPr>
          <w:ilvl w:val="0"/>
          <w:numId w:val="2"/>
        </w:numPr>
        <w:spacing w:before="40" w:after="40"/>
      </w:pPr>
      <w:r>
        <w:rPr>
          <w:rFonts w:ascii="Arial" w:cs="Arial" w:eastAsia="Arial" w:hAnsi="Arial"/>
          <w:sz w:val="22"/>
          <w:szCs w:val="22"/>
        </w:rPr>
        <w:t xml:space="preserve">Feature selection experiments removing grade/sub_grade to isolate independent predictive signal.</w:t>
      </w:r>
    </w:p>
    <w:p>
      <w:pPr>
        <w:pStyle w:val="ListParagraph"/>
        <w:numPr>
          <w:ilvl w:val="0"/>
          <w:numId w:val="2"/>
        </w:numPr>
        <w:spacing w:before="40" w:after="40"/>
      </w:pPr>
      <w:r>
        <w:rPr>
          <w:rFonts w:ascii="Arial" w:cs="Arial" w:eastAsia="Arial" w:hAnsi="Arial"/>
          <w:sz w:val="22"/>
          <w:szCs w:val="22"/>
        </w:rPr>
        <w:t xml:space="preserve">Adversarial debiasing as an in-processing fairness intervention, compared to ThresholdOptimizer post-processing.</w:t>
      </w:r>
    </w:p>
    <w:p>
      <w:pPr>
        <w:pStyle w:val="ListParagraph"/>
        <w:numPr>
          <w:ilvl w:val="0"/>
          <w:numId w:val="2"/>
        </w:numPr>
        <w:spacing w:before="40" w:after="40"/>
      </w:pPr>
      <w:r>
        <w:rPr>
          <w:rFonts w:ascii="Arial" w:cs="Arial" w:eastAsia="Arial" w:hAnsi="Arial"/>
          <w:sz w:val="22"/>
          <w:szCs w:val="22"/>
        </w:rPr>
        <w:t xml:space="preserve">LIME (Local Interpretable Model-agnostic Explanations) as an additional explainability method.</w:t>
      </w:r>
    </w:p>
    <w:p>
      <w:r>
        <w:br w:type="page"/>
      </w:r>
    </w:p>
    <w:p>
      <w:pPr>
        <w:pStyle w:val="Heading1"/>
        <w:spacing w:before="360" w:after="160"/>
      </w:pPr>
      <w:r>
        <w:rPr>
          <w:rFonts w:ascii="Arial" w:cs="Arial" w:eastAsia="Arial" w:hAnsi="Arial"/>
          <w:b/>
          <w:bCs/>
          <w:sz w:val="32"/>
          <w:szCs w:val="32"/>
        </w:rPr>
        <w:t xml:space="preserve">6. Conclusion</w:t>
      </w:r>
    </w:p>
    <w:p>
      <w:pPr>
        <w:spacing w:before="80" w:after="100"/>
        <w:jc w:val="both"/>
      </w:pPr>
      <w:r>
        <w:rPr>
          <w:rFonts w:ascii="Arial" w:cs="Arial" w:eastAsia="Arial" w:hAnsi="Arial"/>
          <w:sz w:val="22"/>
          <w:szCs w:val="22"/>
        </w:rPr>
        <w:t xml:space="preserve">This project demonstrates that building a responsible ML system for credit risk assessment requires much more than optimising a classification metric. Data leakage prevention, class imbalance handling, explainability, and fairness auditing are not optional extensions — they are core engineering requirements for any model that affects people's financial lives.</w:t>
      </w:r>
    </w:p>
    <w:p>
      <w:pPr>
        <w:spacing w:before="80" w:after="100"/>
        <w:jc w:val="both"/>
      </w:pPr>
      <w:r>
        <w:rPr>
          <w:rFonts w:ascii="Arial" w:cs="Arial" w:eastAsia="Arial" w:hAnsi="Arial"/>
          <w:sz w:val="22"/>
          <w:szCs w:val="22"/>
        </w:rPr>
        <w:t xml:space="preserve">The LightGBM model achieves a ROC-AUC of approximately 0.74 on the held-out test set, outperforming both the logistic regression baseline and XGBoost. SHAP analysis confirms that interest rate, loan grade, and DTI are the most influential features. The Fairlearn audit identifies meaningful disparities by income tier, and ThresholdOptimizer reduces these at a small accuracy cost.</w:t>
      </w:r>
    </w:p>
    <w:p>
      <w:pPr>
        <w:spacing w:before="80" w:after="100"/>
        <w:jc w:val="both"/>
      </w:pPr>
      <w:r>
        <w:rPr>
          <w:rFonts w:ascii="Arial" w:cs="Arial" w:eastAsia="Arial" w:hAnsi="Arial"/>
          <w:sz w:val="22"/>
          <w:szCs w:val="22"/>
        </w:rPr>
        <w:t xml:space="preserve">The resulting Streamlit dashboard makes the model's predictions and reasoning accessible to non-technical stakeholders, and the model card provides transparent documentation of performance, limitations, and ethical considerations. Together, these components constitute a production-quality, responsible ML system suitable for educational demonstration and further research.</w:t>
      </w:r>
    </w:p>
    <w:p>
      <w:r>
        <w:br w:type="page"/>
      </w:r>
    </w:p>
    <w:p>
      <w:pPr>
        <w:pStyle w:val="Heading1"/>
        <w:spacing w:before="360" w:after="160"/>
      </w:pPr>
      <w:r>
        <w:rPr>
          <w:rFonts w:ascii="Arial" w:cs="Arial" w:eastAsia="Arial" w:hAnsi="Arial"/>
          <w:b/>
          <w:bCs/>
          <w:sz w:val="32"/>
          <w:szCs w:val="32"/>
        </w:rPr>
        <w:t xml:space="preserve">References</w:t>
      </w:r>
    </w:p>
    <w:p>
      <w:pPr>
        <w:pStyle w:val="ListParagraph"/>
        <w:numPr>
          <w:ilvl w:val="0"/>
          <w:numId w:val="2"/>
        </w:numPr>
        <w:spacing w:before="40" w:after="40"/>
      </w:pPr>
      <w:r>
        <w:rPr>
          <w:rFonts w:ascii="Arial" w:cs="Arial" w:eastAsia="Arial" w:hAnsi="Arial"/>
          <w:sz w:val="22"/>
          <w:szCs w:val="22"/>
        </w:rPr>
        <w:t xml:space="preserve">Bird, S., Dudik, M., Edgar, R., et al. (2020). Fairlearn: A toolkit for assessing and improving fairness in AI. Microsoft Research Tech Report.</w:t>
      </w:r>
    </w:p>
    <w:p>
      <w:pPr>
        <w:pStyle w:val="ListParagraph"/>
        <w:numPr>
          <w:ilvl w:val="0"/>
          <w:numId w:val="2"/>
        </w:numPr>
        <w:spacing w:before="40" w:after="40"/>
      </w:pPr>
      <w:r>
        <w:rPr>
          <w:rFonts w:ascii="Arial" w:cs="Arial" w:eastAsia="Arial" w:hAnsi="Arial"/>
          <w:sz w:val="22"/>
          <w:szCs w:val="22"/>
        </w:rPr>
        <w:t xml:space="preserve">Ke, G., Meng, Q., Finley, T., et al. (2017). LightGBM: A highly efficient gradient boosting decision tree. Advances in Neural Information Processing Systems, 30.</w:t>
      </w:r>
    </w:p>
    <w:p>
      <w:pPr>
        <w:pStyle w:val="ListParagraph"/>
        <w:numPr>
          <w:ilvl w:val="0"/>
          <w:numId w:val="2"/>
        </w:numPr>
        <w:spacing w:before="40" w:after="40"/>
      </w:pPr>
      <w:r>
        <w:rPr>
          <w:rFonts w:ascii="Arial" w:cs="Arial" w:eastAsia="Arial" w:hAnsi="Arial"/>
          <w:sz w:val="22"/>
          <w:szCs w:val="22"/>
        </w:rPr>
        <w:t xml:space="preserve">Lundberg, S. M., &amp; Lee, S.-I. (2017). A unified approach to interpreting model predictions. Advances in Neural Information Processing Systems, 30.</w:t>
      </w:r>
    </w:p>
    <w:p>
      <w:pPr>
        <w:pStyle w:val="ListParagraph"/>
        <w:numPr>
          <w:ilvl w:val="0"/>
          <w:numId w:val="2"/>
        </w:numPr>
        <w:spacing w:before="40" w:after="40"/>
      </w:pPr>
      <w:r>
        <w:rPr>
          <w:rFonts w:ascii="Arial" w:cs="Arial" w:eastAsia="Arial" w:hAnsi="Arial"/>
          <w:sz w:val="22"/>
          <w:szCs w:val="22"/>
        </w:rPr>
        <w:t xml:space="preserve">LendingClub Corporation. (2018). LendingClub Loan Data 2007-2018. Retrieved from https://www.kaggle.com/datasets/wordsforthewise/lending-club</w:t>
      </w:r>
    </w:p>
    <w:p>
      <w:pPr>
        <w:pStyle w:val="ListParagraph"/>
        <w:numPr>
          <w:ilvl w:val="0"/>
          <w:numId w:val="2"/>
        </w:numPr>
        <w:spacing w:before="40" w:after="40"/>
      </w:pPr>
      <w:r>
        <w:rPr>
          <w:rFonts w:ascii="Arial" w:cs="Arial" w:eastAsia="Arial" w:hAnsi="Arial"/>
          <w:sz w:val="22"/>
          <w:szCs w:val="22"/>
        </w:rPr>
        <w:t xml:space="preserve">Chen, T., &amp; Guestrin, C. (2016). XGBoost: A scalable tree boosting system. Proceedings of KDD 2016, 785-794.</w:t>
      </w:r>
    </w:p>
    <w:p>
      <w:pPr>
        <w:pStyle w:val="ListParagraph"/>
        <w:numPr>
          <w:ilvl w:val="0"/>
          <w:numId w:val="2"/>
        </w:numPr>
        <w:spacing w:before="40" w:after="40"/>
      </w:pPr>
      <w:r>
        <w:rPr>
          <w:rFonts w:ascii="Arial" w:cs="Arial" w:eastAsia="Arial" w:hAnsi="Arial"/>
          <w:sz w:val="22"/>
          <w:szCs w:val="22"/>
        </w:rPr>
        <w:t xml:space="preserve">Chawla, N. V., et al. (2002). SMOTE: Synthetic minority over-sampling technique. Journal of Artificial Intelligence Research, 16, 321-357.</w:t>
      </w:r>
    </w:p>
    <w:p>
      <w:pPr>
        <w:pStyle w:val="ListParagraph"/>
        <w:numPr>
          <w:ilvl w:val="0"/>
          <w:numId w:val="2"/>
        </w:numPr>
        <w:spacing w:before="40" w:after="40"/>
      </w:pPr>
      <w:r>
        <w:rPr>
          <w:rFonts w:ascii="Arial" w:cs="Arial" w:eastAsia="Arial" w:hAnsi="Arial"/>
          <w:sz w:val="22"/>
          <w:szCs w:val="22"/>
        </w:rPr>
        <w:t xml:space="preserve">Pedregosa, F., et al. (2011). Scikit-learn: Machine learning in Python. Journal of Machine Learning Research, 12, 2825-2830.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BYOP Capstone  |  Loan Default Risk Predictor  |  Data Science / 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Loan Default Risk Predictor — BYOP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2026-03-26T09:00:27.901Z</dcterms:created>
  <dcterms:modified xsi:type="dcterms:W3CDTF">2026-03-26T09:00:27.901Z</dcterms:modified>
</cp:coreProperties>
</file>

<file path=docProps/custom.xml><?xml version="1.0" encoding="utf-8"?>
<Properties xmlns="http://schemas.openxmlformats.org/officeDocument/2006/custom-properties" xmlns:vt="http://schemas.openxmlformats.org/officeDocument/2006/docPropsVTypes"/>
</file>