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pacing w:lineRule="auto" w:line="240" w:before="0" w:after="0"/>
        <w:ind w:hanging="0"/>
        <w:rPr/>
      </w:pPr>
      <w:r>
        <w:rPr/>
      </w:r>
    </w:p>
    <w:p>
      <w:pPr>
        <w:pStyle w:val="Heading1"/>
        <w:pageBreakBefore w:val="false"/>
        <w:spacing w:lineRule="auto" w:line="312" w:before="0" w:after="0"/>
        <w:ind w:left="-6" w:hanging="0"/>
        <w:rPr>
          <w:rFonts w:ascii="Raleway" w:hAnsi="Raleway" w:eastAsia="Raleway" w:cs="Raleway"/>
          <w:b/>
          <w:b/>
          <w:color w:val="1A1A1A"/>
        </w:rPr>
      </w:pPr>
      <w:bookmarkStart w:id="0" w:name="_9sw3g3xehmtc"/>
      <w:bookmarkEnd w:id="0"/>
      <w:r>
        <w:rPr/>
        <mc:AlternateContent>
          <mc:Choice Requires="wpg">
            <w:drawing>
              <wp:inline distT="0" distB="0" distL="0" distR="0">
                <wp:extent cx="648335" cy="61595"/>
                <wp:effectExtent l="0" t="0" r="0" b="0"/>
                <wp:docPr id="1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40" cy="60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7640" cy="6084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324360" y="0"/>
                              <a:ext cx="60840" cy="32328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0" y="0"/>
                              <a:ext cx="60840" cy="32652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10.45pt;margin-top:-15.35pt;width:30.2pt;height:25.7pt" coordorigin="209,-307" coordsize="604,514">
                <v:group id="shape_0" style="position:absolute;left:209;top:-307;width:604;height:514">
                  <v:rect id="shape_0" ID="Shape 3" fillcolor="#eb5600" stroked="f" style="position:absolute;left:717;top:-303;width:95;height:508;rotation:270;mso-position-vertical:top">
                    <w10:wrap type="none"/>
                    <v:fill o:detectmouseclick="t" type="solid" color2="#14a9ff"/>
                    <v:stroke color="#3465a4" joinstyle="round" endcap="flat"/>
                  </v:rect>
                  <v:rect id="shape_0" ID="Shape 4" fillcolor="#1a9988" stroked="f" style="position:absolute;left:209;top:-305;width:95;height:513;rotation:270;mso-position-vertical:top">
                    <w10:wrap type="none"/>
                    <v:fill o:detectmouseclick="t" type="solid" color2="#e56677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Heading1"/>
        <w:pageBreakBefore w:val="false"/>
        <w:spacing w:lineRule="auto" w:line="312" w:before="0" w:after="0"/>
        <w:ind w:left="-6" w:hanging="0"/>
        <w:rPr>
          <w:rFonts w:ascii="Raleway" w:hAnsi="Raleway" w:eastAsia="Raleway" w:cs="Raleway"/>
          <w:b/>
          <w:b/>
          <w:color w:val="1A1A1A"/>
        </w:rPr>
      </w:pPr>
      <w:r>
        <w:rPr>
          <w:rFonts w:eastAsia="Raleway" w:cs="Raleway" w:ascii="Raleway" w:hAnsi="Raleway"/>
          <w:b/>
          <w:color w:val="1A1A1A"/>
        </w:rPr>
        <w:t>Security Primer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1" w:name="_wn2o88ofyt14"/>
      <w:bookmarkEnd w:id="1"/>
      <w:r>
        <w:rPr>
          <w:rFonts w:eastAsia="Lato" w:cs="Lato" w:ascii="Lato" w:hAnsi="Lato"/>
          <w:b/>
          <w:color w:val="1A1A1A"/>
          <w:sz w:val="28"/>
          <w:szCs w:val="28"/>
        </w:rPr>
        <w:t>Module 1:  Provider Configuration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Till now, we have been hardcoding the aws-region parameter within the providers.tf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This means that resources would be created in the region specified in the providers.tf file.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drawing>
          <wp:inline distT="0" distB="0" distL="0" distR="0">
            <wp:extent cx="5943600" cy="1816100"/>
            <wp:effectExtent l="0" t="0" r="0" b="0"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By default, resources use a default provider configuration inferred from the first word of the resource type name.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For example, a resource of type aws_instance uses the default (un-aliased) aws provider configuration unless otherwise stated.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To select an aliased provider for a resource or data source, set its provider meta-argument to a &lt;PROVIDER NAME&gt;.&lt;ALIAS&gt; reference: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drawing>
          <wp:inline distT="0" distB="0" distL="0" distR="0">
            <wp:extent cx="2833370" cy="1071880"/>
            <wp:effectExtent l="0" t="0" r="0" b="0"/>
            <wp:docPr id="3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2" w:name="_gkh4k3ly7s4v"/>
      <w:bookmarkEnd w:id="2"/>
      <w:r>
        <w:rPr>
          <w:rFonts w:eastAsia="Lato" w:cs="Lato" w:ascii="Lato" w:hAnsi="Lato"/>
          <w:b/>
          <w:color w:val="1A1A1A"/>
          <w:sz w:val="28"/>
          <w:szCs w:val="28"/>
        </w:rPr>
        <w:t>Module 2:  Handling Multiple AWS Profiles in Terraform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You can optionally define multiple configurations for the same provider, and select which one to use on a per-resource or per-module basis.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primary reason for this is to support multiple regions for a cloud platform.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To include multiple configurations for a given provider, include multiple provider blocks with the same provider name, but set the alias meta-argument to an alias name to use for each additional configuration. For example: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062095" cy="1771015"/>
            <wp:effectExtent l="0" t="0" r="0" b="0"/>
            <wp:docPr id="4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The provider block without alias set is known as the default provider configuration.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When an alias is set, it creates an additional provider configuration.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For providers that have no required configuration arguments, the implied empty configuration is considered to be the default provider configuration.</w:t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3" w:name="_cpc09a70hlo2"/>
      <w:bookmarkEnd w:id="3"/>
      <w:r>
        <w:rPr>
          <w:rFonts w:eastAsia="Lato" w:cs="Lato" w:ascii="Lato" w:hAnsi="Lato"/>
          <w:b/>
          <w:color w:val="1A1A1A"/>
          <w:sz w:val="28"/>
          <w:szCs w:val="28"/>
        </w:rPr>
        <w:t>Module 3:  Sensitive Parameter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With the organization managing its entire infrastructure in terraform, it is likely that you will see some sensitive information embedded in the code.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When working with a field that contains information likely to be considered sensitive, it is best to set the Sensitive property on its schema to true</w:t>
      </w:r>
    </w:p>
    <w:p>
      <w:pPr>
        <w:pStyle w:val="Normal1"/>
        <w:pageBreakBefore w:val="false"/>
        <w:rPr/>
      </w:pPr>
      <w:r>
        <w:rPr/>
        <w:drawing>
          <wp:inline distT="0" distB="0" distL="0" distR="0">
            <wp:extent cx="4262120" cy="1183005"/>
            <wp:effectExtent l="0" t="0" r="0" b="0"/>
            <wp:docPr id="5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  <w:t>Setting the sensitive to “true” will prevent the field's values from showing up in CLI output and in Terraform Cloud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It will not encrypt or obscure the value in the state, however.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drawing>
          <wp:inline distT="0" distB="0" distL="0" distR="0">
            <wp:extent cx="5681345" cy="1443990"/>
            <wp:effectExtent l="0" t="0" r="0" b="0"/>
            <wp:docPr id="6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leway"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298</Words>
  <Characters>1627</Characters>
  <CharactersWithSpaces>1912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2022-03-10T14:04:59Z</dcterms:modified>
  <cp:revision>1</cp:revision>
  <dc:subject/>
  <dc:title/>
</cp:coreProperties>
</file>