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Coding Agent Instructions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document provides strict implementation guidance for AI coding agents or human developers working on FlowMind AI. It exists to prevent architecture drift and unsafe shortcuts.</w:t>
      </w:r>
    </w:p>
    <w:p>
      <w:pPr>
        <w:pStyle w:val="Heading1"/>
      </w:pPr>
      <w:r>
        <w:t>2. Non-Negotiable Rules</w:t>
      </w:r>
    </w:p>
    <w:p>
      <w:pPr>
        <w:pStyle w:val="ListBullet"/>
      </w:pPr>
      <w:r>
        <w:t>Do not implement hidden recording.</w:t>
      </w:r>
    </w:p>
    <w:p>
      <w:pPr>
        <w:pStyle w:val="ListBullet"/>
      </w:pPr>
      <w:r>
        <w:t>Do not implement full keystroke capture.</w:t>
      </w:r>
    </w:p>
    <w:p>
      <w:pPr>
        <w:pStyle w:val="ListBullet"/>
      </w:pPr>
      <w:r>
        <w:t>Do not store client workflow data in the control plane.</w:t>
      </w:r>
    </w:p>
    <w:p>
      <w:pPr>
        <w:pStyle w:val="ListBullet"/>
      </w:pPr>
      <w:r>
        <w:t>Do not create a shared operational database for all clients.</w:t>
      </w:r>
    </w:p>
    <w:p>
      <w:pPr>
        <w:pStyle w:val="ListBullet"/>
      </w:pPr>
      <w:r>
        <w:t>Do not bypass the Client Resolver.</w:t>
      </w:r>
    </w:p>
    <w:p>
      <w:pPr>
        <w:pStyle w:val="ListBullet"/>
      </w:pPr>
      <w:r>
        <w:t>Do not hard-code one LLM provider into business logic.</w:t>
      </w:r>
    </w:p>
    <w:p>
      <w:pPr>
        <w:pStyle w:val="ListBullet"/>
      </w:pPr>
      <w:r>
        <w:t>Do not auto-publish AI-generated SOPs.</w:t>
      </w:r>
    </w:p>
    <w:p>
      <w:pPr>
        <w:pStyle w:val="ListBullet"/>
      </w:pPr>
      <w:r>
        <w:t>Do not store screenshots in PostgreSQL.</w:t>
      </w:r>
    </w:p>
    <w:p>
      <w:pPr>
        <w:pStyle w:val="ListBullet"/>
      </w:pPr>
      <w:r>
        <w:t>Do not add Kubernetes, microservices, or Python unless explicitly approved.</w:t>
      </w:r>
    </w:p>
    <w:p>
      <w:pPr>
        <w:pStyle w:val="Heading1"/>
      </w:pPr>
      <w:r>
        <w:t>3. Required Architecture Pattern</w:t>
      </w:r>
    </w:p>
    <w:p>
      <w:r>
        <w:rPr>
          <w:rFonts w:ascii="Courier New" w:hAnsi="Courier New" w:eastAsia="Courier New"/>
          <w:sz w:val="17"/>
        </w:rPr>
        <w:t>Desktop Agent</w:t>
        <w:br/>
      </w:r>
      <w:r>
        <w:rPr>
          <w:rFonts w:ascii="Courier New" w:hAnsi="Courier New" w:eastAsia="Courier New"/>
          <w:sz w:val="17"/>
        </w:rPr>
        <w:t>→ API Gateway</w:t>
        <w:br/>
      </w:r>
      <w:r>
        <w:rPr>
          <w:rFonts w:ascii="Courier New" w:hAnsi="Courier New" w:eastAsia="Courier New"/>
          <w:sz w:val="17"/>
        </w:rPr>
        <w:t>→ Client Resolver</w:t>
        <w:br/>
      </w:r>
      <w:r>
        <w:rPr>
          <w:rFonts w:ascii="Courier New" w:hAnsi="Courier New" w:eastAsia="Courier New"/>
          <w:sz w:val="17"/>
        </w:rPr>
        <w:t>→ Shared Application Layer</w:t>
        <w:br/>
      </w:r>
      <w:r>
        <w:rPr>
          <w:rFonts w:ascii="Courier New" w:hAnsi="Courier New" w:eastAsia="Courier New"/>
          <w:sz w:val="17"/>
        </w:rPr>
        <w:t>→ Client-Specific Data Plane</w:t>
        <w:br/>
      </w:r>
      <w:r>
        <w:rPr>
          <w:rFonts w:ascii="Courier New" w:hAnsi="Courier New" w:eastAsia="Courier New"/>
          <w:sz w:val="17"/>
        </w:rPr>
        <w:t xml:space="preserve">   - Client PostgreSQL DB</w:t>
        <w:br/>
      </w:r>
      <w:r>
        <w:rPr>
          <w:rFonts w:ascii="Courier New" w:hAnsi="Courier New" w:eastAsia="Courier New"/>
          <w:sz w:val="17"/>
        </w:rPr>
        <w:t xml:space="preserve">   - Client S3 Bucket</w:t>
        <w:br/>
      </w:r>
      <w:r>
        <w:rPr>
          <w:rFonts w:ascii="Courier New" w:hAnsi="Courier New" w:eastAsia="Courier New"/>
          <w:sz w:val="17"/>
        </w:rPr>
        <w:t xml:space="preserve">   - Client Vector Namespace</w:t>
        <w:br/>
      </w:r>
      <w:r>
        <w:rPr>
          <w:rFonts w:ascii="Courier New" w:hAnsi="Courier New" w:eastAsia="Courier New"/>
          <w:sz w:val="17"/>
        </w:rPr>
        <w:t xml:space="preserve">   - Client LLM Config</w:t>
        <w:br/>
      </w:r>
    </w:p>
    <w:p>
      <w:pPr>
        <w:pStyle w:val="Heading1"/>
      </w:pPr>
      <w:r>
        <w:t>4. Language and Stack Rules</w:t>
      </w:r>
    </w:p>
    <w:p>
      <w:pPr>
        <w:pStyle w:val="ListBullet"/>
      </w:pPr>
      <w:r>
        <w:t>Use TypeScript as the main product language.</w:t>
      </w:r>
    </w:p>
    <w:p>
      <w:pPr>
        <w:pStyle w:val="ListBullet"/>
      </w:pPr>
      <w:r>
        <w:t>Desktop app: Electron + TypeScript.</w:t>
      </w:r>
    </w:p>
    <w:p>
      <w:pPr>
        <w:pStyle w:val="ListBullet"/>
      </w:pPr>
      <w:r>
        <w:t>Web dashboard: Next.js + React + TypeScript.</w:t>
      </w:r>
    </w:p>
    <w:p>
      <w:pPr>
        <w:pStyle w:val="ListBullet"/>
      </w:pPr>
      <w:r>
        <w:t>Backend: Node.js + NestJS + TypeScript.</w:t>
      </w:r>
    </w:p>
    <w:p>
      <w:pPr>
        <w:pStyle w:val="ListBullet"/>
      </w:pPr>
      <w:r>
        <w:t>ORM: Prisma.</w:t>
      </w:r>
    </w:p>
    <w:p>
      <w:pPr>
        <w:pStyle w:val="ListBullet"/>
      </w:pPr>
      <w:r>
        <w:t>Queue: BullMQ + Redis.</w:t>
      </w:r>
    </w:p>
    <w:p>
      <w:pPr>
        <w:pStyle w:val="ListBullet"/>
      </w:pPr>
      <w:r>
        <w:t>Database: PostgreSQL.</w:t>
      </w:r>
    </w:p>
    <w:p>
      <w:pPr>
        <w:pStyle w:val="ListBullet"/>
      </w:pPr>
      <w:r>
        <w:t>Vector MVP: PostgreSQL + pgvector when needed.</w:t>
      </w:r>
    </w:p>
    <w:p>
      <w:pPr>
        <w:pStyle w:val="Heading1"/>
      </w:pPr>
      <w:r>
        <w:t>5. Backend Coding Rules</w:t>
      </w:r>
    </w:p>
    <w:p>
      <w:pPr>
        <w:pStyle w:val="ListBullet"/>
      </w:pPr>
      <w:r>
        <w:t>Every client-data API must use Auth Guard, Client Resolver Guard, and Permission Guard where applicable.</w:t>
      </w:r>
    </w:p>
    <w:p>
      <w:pPr>
        <w:pStyle w:val="ListBullet"/>
      </w:pPr>
      <w:r>
        <w:t>Repositories must receive client-scoped access context.</w:t>
      </w:r>
    </w:p>
    <w:p>
      <w:pPr>
        <w:pStyle w:val="ListBullet"/>
      </w:pPr>
      <w:r>
        <w:t>Never query client data without client scope.</w:t>
      </w:r>
    </w:p>
    <w:p>
      <w:pPr>
        <w:pStyle w:val="ListBullet"/>
      </w:pPr>
      <w:r>
        <w:t>Write audit logs for sensitive actions.</w:t>
      </w:r>
    </w:p>
    <w:p>
      <w:pPr>
        <w:pStyle w:val="ListBullet"/>
      </w:pPr>
      <w:r>
        <w:t>Use DTO validation for all request bodies.</w:t>
      </w:r>
    </w:p>
    <w:p>
      <w:pPr>
        <w:pStyle w:val="ListBullet"/>
      </w:pPr>
      <w:r>
        <w:t>Use structured errors with request IDs.</w:t>
      </w:r>
    </w:p>
    <w:p>
      <w:pPr>
        <w:pStyle w:val="Heading1"/>
      </w:pPr>
      <w:r>
        <w:t>6. Desktop Agent Coding Rules</w:t>
      </w:r>
    </w:p>
    <w:p>
      <w:pPr>
        <w:pStyle w:val="ListBullet"/>
      </w:pPr>
      <w:r>
        <w:t>Recording must only start after user action.</w:t>
      </w:r>
    </w:p>
    <w:p>
      <w:pPr>
        <w:pStyle w:val="ListBullet"/>
      </w:pPr>
      <w:r>
        <w:t>Recording indicator must be visible while active.</w:t>
      </w:r>
    </w:p>
    <w:p>
      <w:pPr>
        <w:pStyle w:val="ListBullet"/>
      </w:pPr>
      <w:r>
        <w:t>Pause and stop must immediately stop capture.</w:t>
      </w:r>
    </w:p>
    <w:p>
      <w:pPr>
        <w:pStyle w:val="ListBullet"/>
      </w:pPr>
      <w:r>
        <w:t>Only safe key categories may be captured.</w:t>
      </w:r>
    </w:p>
    <w:p>
      <w:pPr>
        <w:pStyle w:val="ListBullet"/>
      </w:pPr>
      <w:r>
        <w:t>Screenshots must respect capture policy and blocklist.</w:t>
      </w:r>
    </w:p>
    <w:p>
      <w:pPr>
        <w:pStyle w:val="ListBullet"/>
      </w:pPr>
      <w:r>
        <w:t>Local data must be encrypted.</w:t>
      </w:r>
    </w:p>
    <w:p>
      <w:pPr>
        <w:pStyle w:val="ListBullet"/>
      </w:pPr>
      <w:r>
        <w:t>Tokens must use OS secure storage.</w:t>
      </w:r>
    </w:p>
    <w:p>
      <w:pPr>
        <w:pStyle w:val="ListBullet"/>
      </w:pPr>
      <w:r>
        <w:t>No sensitive workflow data in diagnostics logs.</w:t>
      </w:r>
    </w:p>
    <w:p>
      <w:pPr>
        <w:pStyle w:val="Heading1"/>
      </w:pPr>
      <w:r>
        <w:t>7. AI Coding Rules</w:t>
      </w:r>
    </w:p>
    <w:p>
      <w:pPr>
        <w:pStyle w:val="ListBullet"/>
      </w:pPr>
      <w:r>
        <w:t>Use AIProvider interface.</w:t>
      </w:r>
    </w:p>
    <w:p>
      <w:pPr>
        <w:pStyle w:val="ListBullet"/>
      </w:pPr>
      <w:r>
        <w:t>Do not call provider SDKs directly from business modules.</w:t>
      </w:r>
    </w:p>
    <w:p>
      <w:pPr>
        <w:pStyle w:val="ListBullet"/>
      </w:pPr>
      <w:r>
        <w:t>Validate AI JSON output against schema.</w:t>
      </w:r>
    </w:p>
    <w:p>
      <w:pPr>
        <w:pStyle w:val="ListBullet"/>
      </w:pPr>
      <w:r>
        <w:t>Store AI outputs as drafts.</w:t>
      </w:r>
    </w:p>
    <w:p>
      <w:pPr>
        <w:pStyle w:val="ListBullet"/>
      </w:pPr>
      <w:r>
        <w:t>Create review task after SOP generation.</w:t>
      </w:r>
    </w:p>
    <w:p>
      <w:pPr>
        <w:pStyle w:val="ListBullet"/>
      </w:pPr>
      <w:r>
        <w:t>Never treat AI output as approved knowledge without human approval.</w:t>
      </w:r>
    </w:p>
    <w:p>
      <w:pPr>
        <w:pStyle w:val="Heading1"/>
      </w:pPr>
      <w:r>
        <w:t>8. Pull Request Checklist</w:t>
      </w:r>
    </w:p>
    <w:p>
      <w:pPr>
        <w:pStyle w:val="ListBullet"/>
      </w:pPr>
      <w:r>
        <w:t>Does this change preserve client isolation?</w:t>
      </w:r>
    </w:p>
    <w:p>
      <w:pPr>
        <w:pStyle w:val="ListBullet"/>
      </w:pPr>
      <w:r>
        <w:t>Does this change avoid hidden monitoring/keylogging?</w:t>
      </w:r>
    </w:p>
    <w:p>
      <w:pPr>
        <w:pStyle w:val="ListBullet"/>
      </w:pPr>
      <w:r>
        <w:t>Does this change use TypeScript stack without unnecessary new language?</w:t>
      </w:r>
    </w:p>
    <w:p>
      <w:pPr>
        <w:pStyle w:val="ListBullet"/>
      </w:pPr>
      <w:r>
        <w:t>Are APIs protected by auth/client/permission guards?</w:t>
      </w:r>
    </w:p>
    <w:p>
      <w:pPr>
        <w:pStyle w:val="ListBullet"/>
      </w:pPr>
      <w:r>
        <w:t>Are sensitive actions audited?</w:t>
      </w:r>
    </w:p>
    <w:p>
      <w:pPr>
        <w:pStyle w:val="ListBullet"/>
      </w:pPr>
      <w:r>
        <w:t>Are local files/tokens secure?</w:t>
      </w:r>
    </w:p>
    <w:p>
      <w:pPr>
        <w:pStyle w:val="ListBullet"/>
      </w:pPr>
      <w:r>
        <w:t>Are tests added or updated?</w:t>
      </w:r>
    </w:p>
    <w:p>
      <w:pPr>
        <w:pStyle w:val="ListBullet"/>
      </w:pPr>
      <w:r>
        <w:t>Does this fit MVP scope?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