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2" w:afterLines="22" w:line="273" w:lineRule="auto"/>
        <w:ind w:left="2160"/>
        <w:rPr>
          <w:rFonts w:ascii="Californian FB" w:hAnsi="Californian FB" w:eastAsia="Calibri" w:cs="Segoe UI"/>
          <w:b/>
          <w:bCs/>
          <w:sz w:val="48"/>
          <w:szCs w:val="48"/>
        </w:rPr>
      </w:pPr>
      <w:r>
        <w:rPr>
          <w:rFonts w:ascii="Californian FB" w:hAnsi="Californian FB" w:eastAsia="Calibri" w:cs="Segoe UI"/>
          <w:b/>
          <w:bCs/>
          <w:sz w:val="48"/>
          <w:szCs w:val="48"/>
        </w:rPr>
        <w:t>ATAL BIHARI VAJPAYEE</w:t>
      </w:r>
    </w:p>
    <w:p>
      <w:pPr>
        <w:spacing w:after="52" w:afterLines="22" w:line="273" w:lineRule="auto"/>
        <w:jc w:val="center"/>
        <w:rPr>
          <w:rFonts w:ascii="Californian FB" w:hAnsi="Californian FB" w:eastAsia="Calibri" w:cs="Segoe UI"/>
          <w:i/>
          <w:iCs/>
          <w:sz w:val="40"/>
          <w:szCs w:val="40"/>
        </w:rPr>
      </w:pPr>
      <w:r>
        <w:rPr>
          <w:rFonts w:ascii="Californian FB" w:hAnsi="Californian FB" w:eastAsia="Calibri" w:cs="Segoe UI"/>
          <w:i/>
          <w:iCs/>
          <w:sz w:val="40"/>
          <w:szCs w:val="40"/>
        </w:rPr>
        <w:t>Indian Institute of Information Technology and Management, Gwalior</w:t>
      </w:r>
    </w:p>
    <w:p>
      <w:pPr>
        <w:spacing w:after="52" w:afterLines="22" w:line="273" w:lineRule="auto"/>
        <w:jc w:val="center"/>
        <w:rPr>
          <w:rFonts w:ascii="Segoe UI" w:hAnsi="Segoe UI" w:eastAsia="Calibri" w:cs="Segoe UI"/>
          <w:b/>
          <w:bCs/>
          <w:sz w:val="48"/>
          <w:szCs w:val="48"/>
        </w:rPr>
      </w:pPr>
      <w:r>
        <w:rPr>
          <w:lang w:eastAsia="en-IN"/>
        </w:rPr>
        <w:drawing>
          <wp:inline distT="0" distB="0" distL="0" distR="0">
            <wp:extent cx="1592580" cy="2545080"/>
            <wp:effectExtent l="0" t="0" r="7620" b="7620"/>
            <wp:docPr id="2" name="Picture 2" descr="C:\Users\abhishek\AppData\Local\Temp\ksohtml917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bhishek\AppData\Local\Temp\ksohtml9176\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92580" cy="2545080"/>
                    </a:xfrm>
                    <a:prstGeom prst="rect">
                      <a:avLst/>
                    </a:prstGeom>
                    <a:noFill/>
                    <a:ln>
                      <a:noFill/>
                    </a:ln>
                  </pic:spPr>
                </pic:pic>
              </a:graphicData>
            </a:graphic>
          </wp:inline>
        </w:drawing>
      </w:r>
      <w:r>
        <w:rPr>
          <w:rFonts w:ascii="Segoe UI" w:hAnsi="Segoe UI" w:eastAsia="Calibri" w:cs="Segoe UI"/>
          <w:b/>
          <w:bCs/>
          <w:sz w:val="48"/>
          <w:szCs w:val="48"/>
        </w:rPr>
        <w:t xml:space="preserve">  </w:t>
      </w:r>
    </w:p>
    <w:p>
      <w:pPr>
        <w:spacing w:after="52" w:afterLines="22" w:line="273" w:lineRule="auto"/>
        <w:jc w:val="center"/>
        <w:rPr>
          <w:rFonts w:ascii="Californian FB" w:hAnsi="Californian FB" w:eastAsia="Calibri" w:cs="Segoe UI"/>
          <w:b/>
          <w:bCs/>
          <w:sz w:val="48"/>
          <w:szCs w:val="48"/>
        </w:rPr>
      </w:pPr>
      <w:r>
        <w:rPr>
          <w:rFonts w:ascii="Californian FB" w:hAnsi="Californian FB" w:eastAsia="Calibri" w:cs="Segoe UI"/>
          <w:b/>
          <w:bCs/>
          <w:sz w:val="48"/>
          <w:szCs w:val="48"/>
        </w:rPr>
        <w:t>REPORT ASSIGNMENT</w:t>
      </w:r>
    </w:p>
    <w:p>
      <w:pPr>
        <w:spacing w:after="52" w:afterLines="22" w:line="273" w:lineRule="auto"/>
        <w:jc w:val="center"/>
        <w:rPr>
          <w:rFonts w:ascii="Californian FB" w:hAnsi="Californian FB" w:eastAsia="Calibri" w:cs="Segoe UI"/>
          <w:i/>
          <w:iCs/>
          <w:sz w:val="48"/>
          <w:szCs w:val="48"/>
        </w:rPr>
      </w:pPr>
      <w:r>
        <w:rPr>
          <w:rFonts w:ascii="Californian FB" w:hAnsi="Californian FB" w:eastAsia="Calibri" w:cs="Segoe UI"/>
          <w:i/>
          <w:iCs/>
          <w:sz w:val="48"/>
          <w:szCs w:val="48"/>
        </w:rPr>
        <w:t>for</w:t>
      </w:r>
    </w:p>
    <w:p>
      <w:pPr>
        <w:spacing w:after="52" w:afterLines="22" w:line="273" w:lineRule="auto"/>
        <w:jc w:val="center"/>
        <w:rPr>
          <w:rFonts w:ascii="Californian FB" w:hAnsi="Californian FB" w:eastAsia="Calibri" w:cs="Segoe UI"/>
          <w:b/>
          <w:bCs/>
          <w:sz w:val="52"/>
          <w:szCs w:val="52"/>
        </w:rPr>
      </w:pPr>
      <w:r>
        <w:rPr>
          <w:rFonts w:ascii="Californian FB" w:hAnsi="Californian FB" w:eastAsia="Calibri" w:cs="Segoe UI"/>
          <w:b/>
          <w:bCs/>
          <w:sz w:val="48"/>
          <w:szCs w:val="48"/>
        </w:rPr>
        <w:t>5 stock ANALYSIS</w:t>
      </w:r>
    </w:p>
    <w:p>
      <w:pPr>
        <w:spacing w:after="52" w:afterLines="22" w:line="273" w:lineRule="auto"/>
        <w:jc w:val="center"/>
        <w:rPr>
          <w:rFonts w:ascii="Californian FB" w:hAnsi="Californian FB" w:eastAsia="Calibri" w:cs="Segoe UI"/>
          <w:i/>
          <w:iCs/>
          <w:sz w:val="36"/>
          <w:szCs w:val="36"/>
        </w:rPr>
      </w:pPr>
      <w:r>
        <w:rPr>
          <w:rFonts w:ascii="Californian FB" w:hAnsi="Californian FB" w:eastAsia="Calibri" w:cs="Segoe UI"/>
          <w:i/>
          <w:iCs/>
          <w:sz w:val="36"/>
          <w:szCs w:val="36"/>
        </w:rPr>
        <w:t>Submitted by</w:t>
      </w:r>
    </w:p>
    <w:p>
      <w:pPr>
        <w:spacing w:after="52" w:afterLines="22" w:line="273" w:lineRule="auto"/>
        <w:jc w:val="center"/>
        <w:rPr>
          <w:rFonts w:ascii="Californian FB" w:hAnsi="Californian FB" w:eastAsia="Calibri" w:cs="Segoe UI"/>
          <w:sz w:val="24"/>
          <w:szCs w:val="24"/>
        </w:rPr>
      </w:pPr>
      <w:r>
        <w:rPr>
          <w:rFonts w:ascii="Californian FB" w:hAnsi="Californian FB" w:eastAsia="Calibri" w:cs="Segoe UI"/>
          <w:sz w:val="24"/>
          <w:szCs w:val="24"/>
        </w:rPr>
        <w:t xml:space="preserve"> </w:t>
      </w:r>
    </w:p>
    <w:p>
      <w:pPr>
        <w:pStyle w:val="22"/>
        <w:numPr>
          <w:numId w:val="0"/>
        </w:numPr>
        <w:spacing w:before="100" w:beforeAutospacing="1" w:after="52" w:afterLines="22" w:line="273" w:lineRule="auto"/>
        <w:ind w:left="360" w:leftChars="0" w:firstLine="1432" w:firstLineChars="0"/>
        <w:rPr>
          <w:rFonts w:ascii="Californian FB" w:hAnsi="Californian FB" w:eastAsia="Calibri" w:cs="Segoe UI"/>
          <w:sz w:val="36"/>
          <w:szCs w:val="36"/>
        </w:rPr>
      </w:pPr>
      <w:bookmarkStart w:id="0" w:name="_GoBack"/>
      <w:bookmarkEnd w:id="0"/>
      <w:r>
        <w:rPr>
          <w:rFonts w:ascii="Californian FB" w:hAnsi="Californian FB" w:eastAsia="Calibri" w:cs="Segoe UI"/>
          <w:sz w:val="36"/>
          <w:szCs w:val="36"/>
        </w:rPr>
        <w:t>ABHISHEK SINGH | 2017-IMG-063</w:t>
      </w:r>
    </w:p>
    <w:p>
      <w:pPr>
        <w:rPr>
          <w:rFonts w:ascii="Arial" w:hAnsi="Arial" w:cs="Arial"/>
          <w:color w:val="111111"/>
          <w:sz w:val="26"/>
          <w:szCs w:val="26"/>
          <w:shd w:val="clear" w:color="auto" w:fill="FFFFFF"/>
        </w:rPr>
      </w:pPr>
    </w:p>
    <w:p>
      <w:pPr>
        <w:rPr>
          <w:rFonts w:ascii="Arial" w:hAnsi="Arial" w:cs="Arial"/>
          <w:color w:val="111111"/>
          <w:sz w:val="26"/>
          <w:szCs w:val="26"/>
          <w:shd w:val="clear" w:color="auto" w:fill="FFFFFF"/>
        </w:rPr>
      </w:pPr>
      <w:r>
        <w:rPr>
          <w:rFonts w:ascii="Arial" w:hAnsi="Arial" w:cs="Arial"/>
          <w:color w:val="111111"/>
          <w:sz w:val="26"/>
          <w:szCs w:val="26"/>
          <w:shd w:val="clear" w:color="auto" w:fill="FFFFFF"/>
        </w:rPr>
        <w:br w:type="page"/>
      </w:r>
    </w:p>
    <w:p>
      <w:pPr>
        <w:spacing w:after="52" w:afterLines="22" w:line="273" w:lineRule="auto"/>
        <w:jc w:val="center"/>
        <w:rPr>
          <w:rFonts w:ascii="Californian FB" w:hAnsi="Californian FB" w:eastAsia="Calibri" w:cs="Segoe UI"/>
          <w:b/>
          <w:i/>
          <w:sz w:val="36"/>
          <w:szCs w:val="36"/>
          <w:u w:val="single"/>
        </w:rPr>
      </w:pPr>
      <w:r>
        <w:rPr>
          <w:rFonts w:ascii="Californian FB" w:hAnsi="Californian FB" w:eastAsia="Calibri" w:cs="Segoe UI"/>
          <w:b/>
          <w:i/>
          <w:sz w:val="36"/>
          <w:szCs w:val="36"/>
          <w:u w:val="single"/>
        </w:rPr>
        <w:t>Data Interpreted From The Excel Sheets</w:t>
      </w:r>
    </w:p>
    <w:tbl>
      <w:tblPr>
        <w:tblStyle w:val="28"/>
        <w:tblpPr w:leftFromText="180" w:rightFromText="180" w:vertAnchor="text" w:horzAnchor="margin" w:tblpXSpec="center" w:tblpY="260"/>
        <w:tblW w:w="9923"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127"/>
        <w:gridCol w:w="1134"/>
        <w:gridCol w:w="1134"/>
        <w:gridCol w:w="992"/>
        <w:gridCol w:w="1134"/>
        <w:gridCol w:w="1418"/>
        <w:gridCol w:w="1984"/>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79" w:hRule="atLeast"/>
        </w:trPr>
        <w:tc>
          <w:tcPr>
            <w:tcW w:w="2127"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noWrap/>
          </w:tcPr>
          <w:p>
            <w:pPr>
              <w:spacing w:after="0" w:line="240" w:lineRule="auto"/>
              <w:rPr>
                <w:rFonts w:ascii="Calibri" w:hAnsi="Calibri"/>
                <w:b w:val="0"/>
                <w:bCs/>
                <w:color w:val="000000"/>
                <w:sz w:val="32"/>
                <w:szCs w:val="32"/>
              </w:rPr>
            </w:pPr>
          </w:p>
        </w:tc>
        <w:tc>
          <w:tcPr>
            <w:tcW w:w="1134" w:type="dxa"/>
            <w:tcBorders>
              <w:top w:val="single" w:color="ED7D31" w:themeColor="accent2" w:sz="4" w:space="0"/>
              <w:bottom w:val="single" w:color="ED7D31" w:themeColor="accent2" w:sz="4" w:space="0"/>
              <w:right w:val="nil"/>
              <w:insideH w:val="single" w:sz="4" w:space="0"/>
              <w:insideV w:val="nil"/>
            </w:tcBorders>
            <w:shd w:val="clear" w:color="auto" w:fill="ED7D31" w:themeFill="accent2"/>
            <w:noWrap/>
          </w:tcPr>
          <w:p>
            <w:pPr>
              <w:spacing w:after="0" w:line="240" w:lineRule="auto"/>
              <w:jc w:val="center"/>
              <w:rPr>
                <w:rFonts w:ascii="Calibri" w:hAnsi="Calibri"/>
                <w:b w:val="0"/>
                <w:bCs/>
                <w:color w:val="000000"/>
                <w:sz w:val="32"/>
                <w:szCs w:val="32"/>
              </w:rPr>
            </w:pPr>
            <w:r>
              <w:rPr>
                <w:rFonts w:ascii="Calibri" w:hAnsi="Calibri"/>
                <w:b/>
                <w:bCs w:val="0"/>
                <w:color w:val="000000"/>
                <w:sz w:val="32"/>
                <w:szCs w:val="32"/>
              </w:rPr>
              <w:t>HDFC</w:t>
            </w:r>
          </w:p>
        </w:tc>
        <w:tc>
          <w:tcPr>
            <w:tcW w:w="1134"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rPr>
                <w:rFonts w:ascii="Calibri" w:hAnsi="Calibri"/>
                <w:b w:val="0"/>
                <w:bCs/>
                <w:color w:val="000000"/>
                <w:sz w:val="32"/>
                <w:szCs w:val="32"/>
              </w:rPr>
            </w:pPr>
            <w:r>
              <w:rPr>
                <w:rFonts w:ascii="Calibri" w:hAnsi="Calibri"/>
                <w:b/>
                <w:bCs w:val="0"/>
                <w:color w:val="000000"/>
                <w:sz w:val="32"/>
                <w:szCs w:val="32"/>
              </w:rPr>
              <w:t xml:space="preserve"> Adani   green</w:t>
            </w:r>
          </w:p>
        </w:tc>
        <w:tc>
          <w:tcPr>
            <w:tcW w:w="992"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Calibri" w:hAnsi="Calibri"/>
                <w:b w:val="0"/>
                <w:bCs/>
                <w:color w:val="000000"/>
                <w:sz w:val="32"/>
                <w:szCs w:val="32"/>
              </w:rPr>
            </w:pPr>
            <w:r>
              <w:rPr>
                <w:rFonts w:ascii="Calibri" w:hAnsi="Calibri"/>
                <w:b/>
                <w:bCs w:val="0"/>
                <w:color w:val="000000"/>
                <w:sz w:val="32"/>
                <w:szCs w:val="32"/>
              </w:rPr>
              <w:t>BPCL</w:t>
            </w:r>
          </w:p>
        </w:tc>
        <w:tc>
          <w:tcPr>
            <w:tcW w:w="1134"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Calibri" w:hAnsi="Calibri"/>
                <w:b w:val="0"/>
                <w:bCs/>
                <w:color w:val="000000"/>
                <w:sz w:val="32"/>
                <w:szCs w:val="32"/>
              </w:rPr>
            </w:pPr>
            <w:r>
              <w:rPr>
                <w:rFonts w:ascii="Calibri" w:hAnsi="Calibri"/>
                <w:b/>
                <w:bCs w:val="0"/>
                <w:color w:val="000000"/>
                <w:sz w:val="32"/>
                <w:szCs w:val="32"/>
              </w:rPr>
              <w:t>ITC</w:t>
            </w:r>
          </w:p>
        </w:tc>
        <w:tc>
          <w:tcPr>
            <w:tcW w:w="1418"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right"/>
              <w:rPr>
                <w:rFonts w:ascii="Calibri" w:hAnsi="Calibri"/>
                <w:b w:val="0"/>
                <w:bCs/>
                <w:color w:val="000000"/>
                <w:sz w:val="32"/>
                <w:szCs w:val="32"/>
              </w:rPr>
            </w:pPr>
            <w:r>
              <w:rPr>
                <w:rFonts w:ascii="Calibri" w:hAnsi="Calibri"/>
                <w:b/>
                <w:bCs w:val="0"/>
                <w:color w:val="000000"/>
                <w:sz w:val="32"/>
                <w:szCs w:val="32"/>
              </w:rPr>
              <w:t>Yesbank</w:t>
            </w:r>
          </w:p>
        </w:tc>
        <w:tc>
          <w:tcPr>
            <w:tcW w:w="1984"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spacing w:after="0" w:line="240" w:lineRule="auto"/>
              <w:jc w:val="center"/>
              <w:rPr>
                <w:rFonts w:ascii="Calibri" w:hAnsi="Calibri"/>
                <w:b w:val="0"/>
                <w:bCs/>
                <w:color w:val="000000"/>
                <w:sz w:val="32"/>
                <w:szCs w:val="32"/>
              </w:rPr>
            </w:pPr>
            <w:r>
              <w:rPr>
                <w:rFonts w:ascii="Calibri" w:hAnsi="Calibri"/>
                <w:b/>
                <w:bCs w:val="0"/>
                <w:color w:val="000000"/>
                <w:sz w:val="32"/>
                <w:szCs w:val="32"/>
              </w:rPr>
              <w:t>Index</w:t>
            </w:r>
          </w:p>
          <w:p>
            <w:pPr>
              <w:spacing w:after="0" w:line="240" w:lineRule="auto"/>
              <w:jc w:val="center"/>
              <w:rPr>
                <w:rFonts w:ascii="Calibri" w:hAnsi="Calibri"/>
                <w:b w:val="0"/>
                <w:bCs/>
                <w:color w:val="000000"/>
                <w:sz w:val="32"/>
                <w:szCs w:val="32"/>
              </w:rPr>
            </w:pPr>
            <w:r>
              <w:rPr>
                <w:rFonts w:ascii="Calibri" w:hAnsi="Calibri"/>
                <w:b/>
                <w:bCs w:val="0"/>
                <w:color w:val="000000"/>
                <w:sz w:val="32"/>
                <w:szCs w:val="32"/>
              </w:rPr>
              <w:t>(Nift-50)</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60" w:hRule="atLeast"/>
        </w:trPr>
        <w:tc>
          <w:tcPr>
            <w:tcW w:w="2127" w:type="dxa"/>
            <w:shd w:val="clear" w:color="auto" w:fill="FBE4D5" w:themeFill="accent2" w:themeFillTint="33"/>
            <w:noWrap/>
          </w:tcPr>
          <w:p>
            <w:pPr>
              <w:spacing w:after="0" w:line="240" w:lineRule="auto"/>
              <w:rPr>
                <w:rFonts w:ascii="Calibri" w:hAnsi="Calibri"/>
                <w:b w:val="0"/>
                <w:bCs w:val="0"/>
                <w:color w:val="000000"/>
                <w:sz w:val="32"/>
                <w:szCs w:val="32"/>
              </w:rPr>
            </w:pPr>
            <w:r>
              <w:rPr>
                <w:rFonts w:ascii="Calibri" w:hAnsi="Calibri"/>
                <w:b/>
                <w:bCs w:val="0"/>
                <w:color w:val="000000"/>
                <w:sz w:val="32"/>
                <w:szCs w:val="32"/>
              </w:rPr>
              <w:t>Returns( in D)</w:t>
            </w:r>
          </w:p>
        </w:tc>
        <w:tc>
          <w:tcPr>
            <w:tcW w:w="1134" w:type="dxa"/>
            <w:shd w:val="clear" w:color="auto" w:fill="FBE4D5" w:themeFill="accent2" w:themeFillTint="33"/>
            <w:noWrap/>
          </w:tcPr>
          <w:p>
            <w:pPr>
              <w:spacing w:after="0" w:line="240" w:lineRule="auto"/>
              <w:jc w:val="right"/>
              <w:rPr>
                <w:rFonts w:ascii="Calibri" w:hAnsi="Calibri"/>
                <w:b/>
                <w:bCs/>
                <w:color w:val="000000"/>
                <w:sz w:val="32"/>
                <w:szCs w:val="32"/>
              </w:rPr>
            </w:pPr>
            <w:r>
              <w:rPr>
                <w:rFonts w:ascii="Calibri" w:hAnsi="Calibri"/>
                <w:b/>
                <w:bCs/>
                <w:color w:val="000000"/>
                <w:sz w:val="32"/>
                <w:szCs w:val="32"/>
              </w:rPr>
              <w:t>0.05%</w:t>
            </w:r>
          </w:p>
        </w:tc>
        <w:tc>
          <w:tcPr>
            <w:tcW w:w="1134"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0.17%</w:t>
            </w:r>
          </w:p>
        </w:tc>
        <w:tc>
          <w:tcPr>
            <w:tcW w:w="992"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0.24%</w:t>
            </w:r>
          </w:p>
        </w:tc>
        <w:tc>
          <w:tcPr>
            <w:tcW w:w="1134" w:type="dxa"/>
            <w:shd w:val="clear" w:color="auto" w:fill="FBE4D5" w:themeFill="accent2" w:themeFillTint="33"/>
          </w:tcPr>
          <w:p>
            <w:pPr>
              <w:spacing w:after="0" w:line="240" w:lineRule="auto"/>
              <w:jc w:val="center"/>
              <w:rPr>
                <w:rFonts w:ascii="Calibri" w:hAnsi="Calibri"/>
                <w:b/>
                <w:sz w:val="28"/>
                <w:szCs w:val="28"/>
              </w:rPr>
            </w:pPr>
            <w:r>
              <w:rPr>
                <w:rFonts w:ascii="Calibri" w:hAnsi="Calibri"/>
                <w:b/>
                <w:sz w:val="28"/>
                <w:szCs w:val="28"/>
              </w:rPr>
              <w:t>-0.02%</w:t>
            </w:r>
          </w:p>
        </w:tc>
        <w:tc>
          <w:tcPr>
            <w:tcW w:w="1418"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-0.64%</w:t>
            </w:r>
          </w:p>
        </w:tc>
        <w:tc>
          <w:tcPr>
            <w:tcW w:w="1984"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0.04%</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60" w:hRule="atLeast"/>
        </w:trPr>
        <w:tc>
          <w:tcPr>
            <w:tcW w:w="2127" w:type="dxa"/>
            <w:noWrap/>
          </w:tcPr>
          <w:p>
            <w:pPr>
              <w:spacing w:after="0" w:line="240" w:lineRule="auto"/>
              <w:rPr>
                <w:rFonts w:ascii="Calibri" w:hAnsi="Calibri"/>
                <w:b w:val="0"/>
                <w:bCs/>
                <w:color w:val="000000"/>
                <w:sz w:val="32"/>
                <w:szCs w:val="32"/>
              </w:rPr>
            </w:pPr>
            <w:r>
              <w:rPr>
                <w:rFonts w:ascii="Calibri" w:hAnsi="Calibri"/>
                <w:b/>
                <w:bCs w:val="0"/>
                <w:color w:val="000000"/>
                <w:sz w:val="32"/>
                <w:szCs w:val="32"/>
              </w:rPr>
              <w:t>standard deviation</w:t>
            </w:r>
          </w:p>
        </w:tc>
        <w:tc>
          <w:tcPr>
            <w:tcW w:w="1134" w:type="dxa"/>
            <w:noWrap/>
          </w:tcPr>
          <w:p>
            <w:pPr>
              <w:spacing w:after="0" w:line="240" w:lineRule="auto"/>
              <w:jc w:val="right"/>
              <w:rPr>
                <w:rFonts w:ascii="Calibri" w:hAnsi="Calibri"/>
                <w:b/>
                <w:bCs/>
                <w:color w:val="000000"/>
                <w:sz w:val="32"/>
                <w:szCs w:val="32"/>
              </w:rPr>
            </w:pPr>
            <w:r>
              <w:rPr>
                <w:rFonts w:ascii="Calibri" w:hAnsi="Calibri"/>
                <w:b/>
                <w:bCs/>
                <w:color w:val="000000"/>
                <w:sz w:val="32"/>
                <w:szCs w:val="32"/>
              </w:rPr>
              <w:t>1.55%</w:t>
            </w:r>
          </w:p>
        </w:tc>
        <w:tc>
          <w:tcPr>
            <w:tcW w:w="1134"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3.49%</w:t>
            </w:r>
          </w:p>
        </w:tc>
        <w:tc>
          <w:tcPr>
            <w:tcW w:w="992"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2.38%</w:t>
            </w:r>
          </w:p>
        </w:tc>
        <w:tc>
          <w:tcPr>
            <w:tcW w:w="1134" w:type="dxa"/>
          </w:tcPr>
          <w:p>
            <w:pPr>
              <w:spacing w:after="0" w:line="240" w:lineRule="auto"/>
              <w:jc w:val="center"/>
              <w:rPr>
                <w:rFonts w:ascii="Calibri" w:hAnsi="Calibri"/>
                <w:b/>
                <w:sz w:val="28"/>
                <w:szCs w:val="28"/>
              </w:rPr>
            </w:pPr>
            <w:r>
              <w:rPr>
                <w:rFonts w:ascii="Calibri" w:hAnsi="Calibri"/>
                <w:b/>
                <w:sz w:val="28"/>
                <w:szCs w:val="28"/>
              </w:rPr>
              <w:t>1.30%</w:t>
            </w:r>
          </w:p>
        </w:tc>
        <w:tc>
          <w:tcPr>
            <w:tcW w:w="1418"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1333.16%</w:t>
            </w:r>
          </w:p>
        </w:tc>
        <w:tc>
          <w:tcPr>
            <w:tcW w:w="1984"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0.92%</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60" w:hRule="atLeast"/>
        </w:trPr>
        <w:tc>
          <w:tcPr>
            <w:tcW w:w="2127" w:type="dxa"/>
            <w:shd w:val="clear" w:color="auto" w:fill="FBE4D5" w:themeFill="accent2" w:themeFillTint="33"/>
            <w:noWrap/>
          </w:tcPr>
          <w:p>
            <w:pPr>
              <w:spacing w:after="0" w:line="240" w:lineRule="auto"/>
              <w:rPr>
                <w:rFonts w:ascii="Calibri" w:hAnsi="Calibri"/>
                <w:b w:val="0"/>
                <w:bCs/>
                <w:color w:val="000000"/>
                <w:sz w:val="32"/>
                <w:szCs w:val="32"/>
              </w:rPr>
            </w:pPr>
            <w:r>
              <w:rPr>
                <w:rFonts w:ascii="Calibri" w:hAnsi="Calibri"/>
                <w:b/>
                <w:bCs w:val="0"/>
                <w:color w:val="000000"/>
                <w:sz w:val="32"/>
                <w:szCs w:val="32"/>
              </w:rPr>
              <w:t>Variance</w:t>
            </w:r>
          </w:p>
        </w:tc>
        <w:tc>
          <w:tcPr>
            <w:tcW w:w="1134" w:type="dxa"/>
            <w:shd w:val="clear" w:color="auto" w:fill="FBE4D5" w:themeFill="accent2" w:themeFillTint="33"/>
            <w:noWrap/>
          </w:tcPr>
          <w:p>
            <w:pPr>
              <w:spacing w:after="0" w:line="240" w:lineRule="auto"/>
              <w:jc w:val="right"/>
              <w:rPr>
                <w:rFonts w:ascii="Calibri" w:hAnsi="Calibri"/>
                <w:b/>
                <w:bCs/>
                <w:color w:val="000000"/>
                <w:sz w:val="32"/>
                <w:szCs w:val="32"/>
              </w:rPr>
            </w:pPr>
            <w:r>
              <w:rPr>
                <w:rFonts w:ascii="Calibri" w:hAnsi="Calibri"/>
                <w:b/>
                <w:bCs/>
                <w:color w:val="000000"/>
                <w:sz w:val="32"/>
                <w:szCs w:val="32"/>
              </w:rPr>
              <w:t>0.02%</w:t>
            </w:r>
          </w:p>
        </w:tc>
        <w:tc>
          <w:tcPr>
            <w:tcW w:w="1134"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0.12%</w:t>
            </w:r>
          </w:p>
        </w:tc>
        <w:tc>
          <w:tcPr>
            <w:tcW w:w="992"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0.06%</w:t>
            </w:r>
          </w:p>
        </w:tc>
        <w:tc>
          <w:tcPr>
            <w:tcW w:w="1134" w:type="dxa"/>
            <w:shd w:val="clear" w:color="auto" w:fill="FBE4D5" w:themeFill="accent2" w:themeFillTint="33"/>
          </w:tcPr>
          <w:p>
            <w:pPr>
              <w:spacing w:after="0" w:line="240" w:lineRule="auto"/>
              <w:jc w:val="center"/>
              <w:rPr>
                <w:rFonts w:ascii="Calibri" w:hAnsi="Calibri"/>
                <w:b/>
                <w:sz w:val="28"/>
                <w:szCs w:val="28"/>
              </w:rPr>
            </w:pPr>
            <w:r>
              <w:rPr>
                <w:rFonts w:ascii="Calibri" w:hAnsi="Calibri"/>
                <w:b/>
                <w:sz w:val="28"/>
                <w:szCs w:val="28"/>
              </w:rPr>
              <w:t>0.02%</w:t>
            </w:r>
          </w:p>
        </w:tc>
        <w:tc>
          <w:tcPr>
            <w:tcW w:w="1418"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0.28%</w:t>
            </w:r>
          </w:p>
        </w:tc>
        <w:tc>
          <w:tcPr>
            <w:tcW w:w="1984"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0.01%</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60" w:hRule="atLeast"/>
        </w:trPr>
        <w:tc>
          <w:tcPr>
            <w:tcW w:w="2127" w:type="dxa"/>
            <w:noWrap/>
          </w:tcPr>
          <w:p>
            <w:pPr>
              <w:spacing w:after="0" w:line="240" w:lineRule="auto"/>
              <w:rPr>
                <w:rFonts w:ascii="Calibri" w:hAnsi="Calibri"/>
                <w:b w:val="0"/>
                <w:bCs/>
                <w:color w:val="000000"/>
                <w:sz w:val="32"/>
                <w:szCs w:val="32"/>
              </w:rPr>
            </w:pPr>
            <w:r>
              <w:rPr>
                <w:rFonts w:ascii="Calibri" w:hAnsi="Calibri"/>
                <w:b/>
                <w:bCs w:val="0"/>
                <w:color w:val="000000"/>
                <w:sz w:val="32"/>
                <w:szCs w:val="32"/>
              </w:rPr>
              <w:t>Covariance</w:t>
            </w:r>
          </w:p>
        </w:tc>
        <w:tc>
          <w:tcPr>
            <w:tcW w:w="1134" w:type="dxa"/>
            <w:noWrap/>
          </w:tcPr>
          <w:p>
            <w:pPr>
              <w:spacing w:after="0" w:line="240" w:lineRule="auto"/>
              <w:jc w:val="right"/>
              <w:rPr>
                <w:rFonts w:ascii="Calibri" w:hAnsi="Calibri"/>
                <w:b/>
                <w:bCs/>
                <w:color w:val="000000"/>
                <w:sz w:val="32"/>
                <w:szCs w:val="32"/>
              </w:rPr>
            </w:pPr>
            <w:r>
              <w:rPr>
                <w:rFonts w:ascii="Calibri" w:hAnsi="Calibri"/>
                <w:b/>
                <w:bCs/>
                <w:color w:val="000000"/>
                <w:sz w:val="32"/>
                <w:szCs w:val="32"/>
              </w:rPr>
              <w:t>0.0001</w:t>
            </w:r>
          </w:p>
        </w:tc>
        <w:tc>
          <w:tcPr>
            <w:tcW w:w="1134" w:type="dxa"/>
          </w:tcPr>
          <w:p>
            <w:pPr>
              <w:spacing w:after="0" w:line="240" w:lineRule="auto"/>
              <w:rPr>
                <w:rFonts w:ascii="Calibri" w:hAnsi="Calibri"/>
                <w:b/>
                <w:bCs/>
                <w:color w:val="000000"/>
                <w:sz w:val="32"/>
                <w:szCs w:val="32"/>
              </w:rPr>
            </w:pPr>
            <w:r>
              <w:rPr>
                <w:rFonts w:ascii="Calibri" w:hAnsi="Calibri"/>
                <w:b/>
                <w:bCs/>
                <w:color w:val="000000"/>
                <w:sz w:val="32"/>
                <w:szCs w:val="32"/>
              </w:rPr>
              <w:t>0.000121</w:t>
            </w:r>
          </w:p>
        </w:tc>
        <w:tc>
          <w:tcPr>
            <w:tcW w:w="992"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1E-04</w:t>
            </w:r>
          </w:p>
        </w:tc>
        <w:tc>
          <w:tcPr>
            <w:tcW w:w="1134" w:type="dxa"/>
          </w:tcPr>
          <w:p>
            <w:pPr>
              <w:spacing w:after="0" w:line="240" w:lineRule="auto"/>
              <w:jc w:val="center"/>
              <w:rPr>
                <w:rFonts w:ascii="Calibri" w:hAnsi="Calibri"/>
                <w:b/>
                <w:sz w:val="28"/>
                <w:szCs w:val="28"/>
              </w:rPr>
            </w:pPr>
            <w:r>
              <w:rPr>
                <w:rFonts w:ascii="Calibri" w:hAnsi="Calibri"/>
                <w:b/>
                <w:sz w:val="28"/>
                <w:szCs w:val="28"/>
              </w:rPr>
              <w:t>6.59766E-05</w:t>
            </w:r>
          </w:p>
        </w:tc>
        <w:tc>
          <w:tcPr>
            <w:tcW w:w="1418"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0.000136486</w:t>
            </w:r>
          </w:p>
        </w:tc>
        <w:tc>
          <w:tcPr>
            <w:tcW w:w="1984" w:type="dxa"/>
          </w:tcPr>
          <w:p>
            <w:pPr>
              <w:spacing w:after="0" w:line="240" w:lineRule="auto"/>
              <w:jc w:val="right"/>
              <w:rPr>
                <w:rFonts w:ascii="Calibri" w:hAnsi="Calibri"/>
                <w:b/>
                <w:bCs/>
                <w:color w:val="000000"/>
                <w:sz w:val="32"/>
                <w:szCs w:val="32"/>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60" w:hRule="atLeast"/>
        </w:trPr>
        <w:tc>
          <w:tcPr>
            <w:tcW w:w="2127" w:type="dxa"/>
            <w:shd w:val="clear" w:color="auto" w:fill="FBE4D5" w:themeFill="accent2" w:themeFillTint="33"/>
            <w:noWrap/>
          </w:tcPr>
          <w:p>
            <w:pPr>
              <w:spacing w:after="0" w:line="240" w:lineRule="auto"/>
              <w:rPr>
                <w:rFonts w:ascii="Calibri" w:hAnsi="Calibri"/>
                <w:b w:val="0"/>
                <w:bCs/>
                <w:color w:val="000000"/>
                <w:sz w:val="32"/>
                <w:szCs w:val="32"/>
              </w:rPr>
            </w:pPr>
            <w:r>
              <w:rPr>
                <w:rFonts w:ascii="Calibri" w:hAnsi="Calibri"/>
                <w:b/>
                <w:bCs w:val="0"/>
                <w:color w:val="000000"/>
                <w:sz w:val="32"/>
                <w:szCs w:val="32"/>
              </w:rPr>
              <w:t>Beta/slope</w:t>
            </w:r>
          </w:p>
        </w:tc>
        <w:tc>
          <w:tcPr>
            <w:tcW w:w="1134" w:type="dxa"/>
            <w:shd w:val="clear" w:color="auto" w:fill="FBE4D5" w:themeFill="accent2" w:themeFillTint="33"/>
            <w:noWrap/>
          </w:tcPr>
          <w:p>
            <w:pPr>
              <w:spacing w:after="0" w:line="240" w:lineRule="auto"/>
              <w:jc w:val="right"/>
              <w:rPr>
                <w:rFonts w:ascii="Calibri" w:hAnsi="Calibri"/>
                <w:b/>
                <w:bCs/>
                <w:color w:val="000000"/>
                <w:sz w:val="32"/>
                <w:szCs w:val="32"/>
              </w:rPr>
            </w:pPr>
            <w:r>
              <w:rPr>
                <w:rFonts w:ascii="Calibri" w:hAnsi="Calibri"/>
                <w:b/>
                <w:bCs/>
                <w:color w:val="000000"/>
                <w:sz w:val="32"/>
                <w:szCs w:val="32"/>
              </w:rPr>
              <w:t>1.17319</w:t>
            </w:r>
          </w:p>
        </w:tc>
        <w:tc>
          <w:tcPr>
            <w:tcW w:w="1134"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1.412805</w:t>
            </w:r>
          </w:p>
        </w:tc>
        <w:tc>
          <w:tcPr>
            <w:tcW w:w="992"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1.381</w:t>
            </w:r>
          </w:p>
        </w:tc>
        <w:tc>
          <w:tcPr>
            <w:tcW w:w="1134" w:type="dxa"/>
            <w:shd w:val="clear" w:color="auto" w:fill="FBE4D5" w:themeFill="accent2" w:themeFillTint="33"/>
          </w:tcPr>
          <w:p>
            <w:pPr>
              <w:spacing w:after="0" w:line="240" w:lineRule="auto"/>
              <w:jc w:val="center"/>
              <w:rPr>
                <w:rFonts w:ascii="Calibri" w:hAnsi="Calibri"/>
                <w:b/>
                <w:sz w:val="28"/>
                <w:szCs w:val="28"/>
              </w:rPr>
            </w:pPr>
            <w:r>
              <w:rPr>
                <w:rFonts w:ascii="Calibri" w:hAnsi="Calibri"/>
                <w:b/>
                <w:sz w:val="28"/>
                <w:szCs w:val="28"/>
              </w:rPr>
              <w:t>0.771333704</w:t>
            </w:r>
          </w:p>
        </w:tc>
        <w:tc>
          <w:tcPr>
            <w:tcW w:w="1418"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1.595662002</w:t>
            </w:r>
          </w:p>
        </w:tc>
        <w:tc>
          <w:tcPr>
            <w:tcW w:w="1984" w:type="dxa"/>
            <w:shd w:val="clear" w:color="auto" w:fill="FBE4D5" w:themeFill="accent2" w:themeFillTint="33"/>
          </w:tcPr>
          <w:p>
            <w:pPr>
              <w:spacing w:after="0" w:line="240" w:lineRule="auto"/>
              <w:jc w:val="right"/>
              <w:rPr>
                <w:rFonts w:ascii="Calibri" w:hAnsi="Calibri"/>
                <w:b/>
                <w:bCs/>
                <w:color w:val="000000"/>
                <w:sz w:val="32"/>
                <w:szCs w:val="32"/>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60" w:hRule="atLeast"/>
        </w:trPr>
        <w:tc>
          <w:tcPr>
            <w:tcW w:w="2127" w:type="dxa"/>
            <w:noWrap/>
          </w:tcPr>
          <w:p>
            <w:pPr>
              <w:spacing w:after="0" w:line="240" w:lineRule="auto"/>
              <w:rPr>
                <w:rFonts w:ascii="Calibri" w:hAnsi="Calibri"/>
                <w:b w:val="0"/>
                <w:bCs/>
                <w:color w:val="000000"/>
                <w:sz w:val="32"/>
                <w:szCs w:val="32"/>
              </w:rPr>
            </w:pPr>
            <w:r>
              <w:rPr>
                <w:rFonts w:ascii="Calibri" w:hAnsi="Calibri"/>
                <w:b/>
                <w:bCs w:val="0"/>
                <w:color w:val="000000"/>
                <w:sz w:val="32"/>
                <w:szCs w:val="32"/>
              </w:rPr>
              <w:t>alpha(intercept)</w:t>
            </w:r>
          </w:p>
        </w:tc>
        <w:tc>
          <w:tcPr>
            <w:tcW w:w="1134" w:type="dxa"/>
            <w:noWrap/>
          </w:tcPr>
          <w:p>
            <w:pPr>
              <w:spacing w:after="0" w:line="240" w:lineRule="auto"/>
              <w:jc w:val="right"/>
              <w:rPr>
                <w:rFonts w:ascii="Calibri" w:hAnsi="Calibri"/>
                <w:b/>
                <w:bCs/>
                <w:color w:val="000000"/>
                <w:sz w:val="32"/>
                <w:szCs w:val="32"/>
              </w:rPr>
            </w:pPr>
            <w:r>
              <w:rPr>
                <w:rFonts w:ascii="Calibri" w:hAnsi="Calibri"/>
                <w:b/>
                <w:bCs/>
                <w:color w:val="000000"/>
                <w:sz w:val="32"/>
                <w:szCs w:val="32"/>
              </w:rPr>
              <w:t>2.6E-05</w:t>
            </w:r>
          </w:p>
        </w:tc>
        <w:tc>
          <w:tcPr>
            <w:tcW w:w="1134"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0.001163</w:t>
            </w:r>
          </w:p>
        </w:tc>
        <w:tc>
          <w:tcPr>
            <w:tcW w:w="992"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0.002</w:t>
            </w:r>
          </w:p>
        </w:tc>
        <w:tc>
          <w:tcPr>
            <w:tcW w:w="1134" w:type="dxa"/>
          </w:tcPr>
          <w:p>
            <w:pPr>
              <w:spacing w:after="0" w:line="240" w:lineRule="auto"/>
              <w:jc w:val="center"/>
              <w:rPr>
                <w:rFonts w:ascii="Calibri" w:hAnsi="Calibri"/>
                <w:b/>
                <w:sz w:val="28"/>
                <w:szCs w:val="28"/>
              </w:rPr>
            </w:pPr>
            <w:r>
              <w:rPr>
                <w:rFonts w:ascii="Calibri" w:hAnsi="Calibri"/>
                <w:b/>
                <w:sz w:val="28"/>
                <w:szCs w:val="28"/>
              </w:rPr>
              <w:t>-0.00053088</w:t>
            </w:r>
          </w:p>
        </w:tc>
        <w:tc>
          <w:tcPr>
            <w:tcW w:w="1418"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-0.00702305</w:t>
            </w:r>
          </w:p>
        </w:tc>
        <w:tc>
          <w:tcPr>
            <w:tcW w:w="1984" w:type="dxa"/>
          </w:tcPr>
          <w:p>
            <w:pPr>
              <w:spacing w:after="0" w:line="240" w:lineRule="auto"/>
              <w:jc w:val="right"/>
              <w:rPr>
                <w:rFonts w:ascii="Calibri" w:hAnsi="Calibri"/>
                <w:b/>
                <w:bCs/>
                <w:color w:val="000000"/>
                <w:sz w:val="32"/>
                <w:szCs w:val="32"/>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60" w:hRule="atLeast"/>
        </w:trPr>
        <w:tc>
          <w:tcPr>
            <w:tcW w:w="2127" w:type="dxa"/>
            <w:shd w:val="clear" w:color="auto" w:fill="FBE4D5" w:themeFill="accent2" w:themeFillTint="33"/>
            <w:noWrap/>
          </w:tcPr>
          <w:p>
            <w:pPr>
              <w:spacing w:after="0" w:line="240" w:lineRule="auto"/>
              <w:rPr>
                <w:rFonts w:ascii="Calibri" w:hAnsi="Calibri"/>
                <w:b w:val="0"/>
                <w:bCs/>
                <w:color w:val="000000"/>
                <w:sz w:val="32"/>
                <w:szCs w:val="32"/>
              </w:rPr>
            </w:pPr>
            <w:r>
              <w:rPr>
                <w:rFonts w:ascii="Calibri" w:hAnsi="Calibri"/>
                <w:b/>
                <w:bCs w:val="0"/>
                <w:color w:val="000000"/>
                <w:sz w:val="32"/>
                <w:szCs w:val="32"/>
              </w:rPr>
              <w:t>Systematic risk</w:t>
            </w:r>
          </w:p>
        </w:tc>
        <w:tc>
          <w:tcPr>
            <w:tcW w:w="1134" w:type="dxa"/>
            <w:shd w:val="clear" w:color="auto" w:fill="FBE4D5" w:themeFill="accent2" w:themeFillTint="33"/>
            <w:noWrap/>
          </w:tcPr>
          <w:p>
            <w:pPr>
              <w:spacing w:after="0" w:line="240" w:lineRule="auto"/>
              <w:jc w:val="right"/>
              <w:rPr>
                <w:rFonts w:ascii="Calibri" w:hAnsi="Calibri"/>
                <w:b/>
                <w:bCs/>
                <w:color w:val="000000"/>
                <w:sz w:val="32"/>
                <w:szCs w:val="32"/>
              </w:rPr>
            </w:pPr>
            <w:r>
              <w:rPr>
                <w:rFonts w:ascii="Calibri" w:hAnsi="Calibri"/>
                <w:b/>
                <w:bCs/>
                <w:color w:val="000000"/>
                <w:sz w:val="32"/>
                <w:szCs w:val="32"/>
              </w:rPr>
              <w:t>0.01085</w:t>
            </w:r>
          </w:p>
        </w:tc>
        <w:tc>
          <w:tcPr>
            <w:tcW w:w="1134"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0.013066</w:t>
            </w:r>
          </w:p>
        </w:tc>
        <w:tc>
          <w:tcPr>
            <w:tcW w:w="992"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0.013</w:t>
            </w:r>
          </w:p>
        </w:tc>
        <w:tc>
          <w:tcPr>
            <w:tcW w:w="1134" w:type="dxa"/>
            <w:shd w:val="clear" w:color="auto" w:fill="FBE4D5" w:themeFill="accent2" w:themeFillTint="33"/>
          </w:tcPr>
          <w:p>
            <w:pPr>
              <w:spacing w:after="0" w:line="240" w:lineRule="auto"/>
              <w:jc w:val="center"/>
              <w:rPr>
                <w:rFonts w:ascii="Calibri" w:hAnsi="Calibri"/>
                <w:b/>
                <w:sz w:val="28"/>
                <w:szCs w:val="28"/>
              </w:rPr>
            </w:pPr>
            <w:r>
              <w:rPr>
                <w:rFonts w:ascii="Calibri" w:hAnsi="Calibri"/>
                <w:b/>
                <w:sz w:val="28"/>
                <w:szCs w:val="28"/>
              </w:rPr>
              <w:t>0.007133723</w:t>
            </w:r>
          </w:p>
        </w:tc>
        <w:tc>
          <w:tcPr>
            <w:tcW w:w="1418"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0.014757569</w:t>
            </w:r>
          </w:p>
        </w:tc>
        <w:tc>
          <w:tcPr>
            <w:tcW w:w="1984" w:type="dxa"/>
            <w:shd w:val="clear" w:color="auto" w:fill="FBE4D5" w:themeFill="accent2" w:themeFillTint="33"/>
          </w:tcPr>
          <w:p>
            <w:pPr>
              <w:spacing w:after="0" w:line="240" w:lineRule="auto"/>
              <w:jc w:val="right"/>
              <w:rPr>
                <w:rFonts w:ascii="Calibri" w:hAnsi="Calibri"/>
                <w:b/>
                <w:bCs/>
                <w:color w:val="000000"/>
                <w:sz w:val="32"/>
                <w:szCs w:val="32"/>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60" w:hRule="atLeast"/>
        </w:trPr>
        <w:tc>
          <w:tcPr>
            <w:tcW w:w="2127" w:type="dxa"/>
            <w:noWrap/>
          </w:tcPr>
          <w:p>
            <w:pPr>
              <w:spacing w:after="0" w:line="240" w:lineRule="auto"/>
              <w:rPr>
                <w:rFonts w:ascii="Calibri" w:hAnsi="Calibri"/>
                <w:b w:val="0"/>
                <w:bCs/>
                <w:color w:val="000000"/>
                <w:sz w:val="32"/>
                <w:szCs w:val="32"/>
              </w:rPr>
            </w:pPr>
            <w:r>
              <w:rPr>
                <w:rFonts w:ascii="Calibri" w:hAnsi="Calibri"/>
                <w:b/>
                <w:bCs w:val="0"/>
                <w:color w:val="000000"/>
                <w:sz w:val="32"/>
                <w:szCs w:val="32"/>
              </w:rPr>
              <w:t>Unsystematic risk</w:t>
            </w:r>
          </w:p>
        </w:tc>
        <w:tc>
          <w:tcPr>
            <w:tcW w:w="1134" w:type="dxa"/>
            <w:noWrap/>
          </w:tcPr>
          <w:p>
            <w:pPr>
              <w:spacing w:after="0" w:line="240" w:lineRule="auto"/>
              <w:jc w:val="right"/>
              <w:rPr>
                <w:rFonts w:ascii="Calibri" w:hAnsi="Calibri"/>
                <w:b/>
                <w:bCs/>
                <w:color w:val="000000"/>
                <w:sz w:val="32"/>
                <w:szCs w:val="32"/>
              </w:rPr>
            </w:pPr>
            <w:r>
              <w:rPr>
                <w:rFonts w:ascii="Calibri" w:hAnsi="Calibri"/>
                <w:b/>
                <w:bCs/>
                <w:color w:val="000000"/>
                <w:sz w:val="32"/>
                <w:szCs w:val="32"/>
              </w:rPr>
              <w:t>0.0047</w:t>
            </w:r>
          </w:p>
        </w:tc>
        <w:tc>
          <w:tcPr>
            <w:tcW w:w="1134"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0.021801</w:t>
            </w:r>
          </w:p>
        </w:tc>
        <w:tc>
          <w:tcPr>
            <w:tcW w:w="992"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0.011</w:t>
            </w:r>
          </w:p>
        </w:tc>
        <w:tc>
          <w:tcPr>
            <w:tcW w:w="1134" w:type="dxa"/>
          </w:tcPr>
          <w:p>
            <w:pPr>
              <w:spacing w:after="0" w:line="240" w:lineRule="auto"/>
              <w:jc w:val="center"/>
              <w:rPr>
                <w:rFonts w:ascii="Calibri" w:hAnsi="Calibri"/>
                <w:b/>
                <w:sz w:val="28"/>
                <w:szCs w:val="28"/>
              </w:rPr>
            </w:pPr>
            <w:r>
              <w:rPr>
                <w:rFonts w:ascii="Calibri" w:hAnsi="Calibri"/>
                <w:b/>
                <w:sz w:val="28"/>
                <w:szCs w:val="28"/>
              </w:rPr>
              <w:t>0.005896649</w:t>
            </w:r>
          </w:p>
        </w:tc>
        <w:tc>
          <w:tcPr>
            <w:tcW w:w="1418" w:type="dxa"/>
          </w:tcPr>
          <w:p>
            <w:pPr>
              <w:spacing w:after="0" w:line="240" w:lineRule="auto"/>
              <w:jc w:val="right"/>
              <w:rPr>
                <w:rFonts w:ascii="Calibri" w:hAnsi="Calibri"/>
                <w:b/>
                <w:bCs/>
                <w:color w:val="000000"/>
                <w:sz w:val="32"/>
                <w:szCs w:val="32"/>
              </w:rPr>
            </w:pPr>
            <w:r>
              <w:rPr>
                <w:rFonts w:ascii="Calibri" w:hAnsi="Calibri"/>
                <w:b/>
                <w:bCs/>
                <w:color w:val="000000"/>
                <w:sz w:val="32"/>
                <w:szCs w:val="32"/>
              </w:rPr>
              <w:t>13.31685285</w:t>
            </w:r>
          </w:p>
        </w:tc>
        <w:tc>
          <w:tcPr>
            <w:tcW w:w="1984" w:type="dxa"/>
          </w:tcPr>
          <w:p>
            <w:pPr>
              <w:spacing w:after="0" w:line="240" w:lineRule="auto"/>
              <w:jc w:val="right"/>
              <w:rPr>
                <w:rFonts w:ascii="Calibri" w:hAnsi="Calibri"/>
                <w:b/>
                <w:bCs/>
                <w:color w:val="000000"/>
                <w:sz w:val="32"/>
                <w:szCs w:val="32"/>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728" w:hRule="atLeast"/>
        </w:trPr>
        <w:tc>
          <w:tcPr>
            <w:tcW w:w="2127" w:type="dxa"/>
            <w:shd w:val="clear" w:color="auto" w:fill="FBE4D5" w:themeFill="accent2" w:themeFillTint="33"/>
            <w:noWrap/>
          </w:tcPr>
          <w:p>
            <w:pPr>
              <w:spacing w:after="0" w:line="240" w:lineRule="auto"/>
              <w:rPr>
                <w:rFonts w:ascii="Calibri" w:hAnsi="Calibri"/>
                <w:b w:val="0"/>
                <w:bCs/>
                <w:color w:val="000000"/>
                <w:sz w:val="32"/>
                <w:szCs w:val="32"/>
              </w:rPr>
            </w:pPr>
            <w:r>
              <w:rPr>
                <w:rFonts w:ascii="Calibri" w:hAnsi="Calibri"/>
                <w:b/>
                <w:bCs w:val="0"/>
                <w:color w:val="000000"/>
                <w:sz w:val="32"/>
                <w:szCs w:val="32"/>
              </w:rPr>
              <w:t>r (coeff of correlation)</w:t>
            </w:r>
          </w:p>
        </w:tc>
        <w:tc>
          <w:tcPr>
            <w:tcW w:w="1134" w:type="dxa"/>
            <w:shd w:val="clear" w:color="auto" w:fill="FBE4D5" w:themeFill="accent2" w:themeFillTint="33"/>
            <w:noWrap/>
          </w:tcPr>
          <w:p>
            <w:pPr>
              <w:spacing w:after="0" w:line="240" w:lineRule="auto"/>
              <w:jc w:val="right"/>
              <w:rPr>
                <w:rFonts w:ascii="Calibri" w:hAnsi="Calibri"/>
                <w:b/>
                <w:bCs/>
                <w:color w:val="000000"/>
                <w:sz w:val="32"/>
                <w:szCs w:val="32"/>
              </w:rPr>
            </w:pPr>
            <w:r>
              <w:rPr>
                <w:rFonts w:ascii="Calibri" w:hAnsi="Calibri"/>
                <w:b/>
                <w:bCs/>
                <w:color w:val="000000"/>
                <w:sz w:val="32"/>
                <w:szCs w:val="32"/>
              </w:rPr>
              <w:t>0.69819</w:t>
            </w:r>
          </w:p>
        </w:tc>
        <w:tc>
          <w:tcPr>
            <w:tcW w:w="1134" w:type="dxa"/>
            <w:shd w:val="clear" w:color="auto" w:fill="FBE4D5" w:themeFill="accent2" w:themeFillTint="33"/>
          </w:tcPr>
          <w:p>
            <w:pPr>
              <w:spacing w:after="0" w:line="240" w:lineRule="auto"/>
              <w:rPr>
                <w:rFonts w:ascii="Calibri" w:hAnsi="Calibri"/>
                <w:b/>
                <w:bCs/>
                <w:color w:val="000000"/>
                <w:sz w:val="32"/>
                <w:szCs w:val="32"/>
              </w:rPr>
            </w:pPr>
            <w:r>
              <w:rPr>
                <w:rFonts w:ascii="Calibri" w:hAnsi="Calibri"/>
                <w:b/>
                <w:bCs/>
                <w:color w:val="000000"/>
                <w:sz w:val="32"/>
                <w:szCs w:val="32"/>
              </w:rPr>
              <w:t>0.374743</w:t>
            </w:r>
          </w:p>
        </w:tc>
        <w:tc>
          <w:tcPr>
            <w:tcW w:w="992"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0.537</w:t>
            </w:r>
          </w:p>
        </w:tc>
        <w:tc>
          <w:tcPr>
            <w:tcW w:w="1134" w:type="dxa"/>
            <w:shd w:val="clear" w:color="auto" w:fill="FBE4D5" w:themeFill="accent2" w:themeFillTint="33"/>
          </w:tcPr>
          <w:p>
            <w:pPr>
              <w:spacing w:after="0" w:line="240" w:lineRule="auto"/>
              <w:jc w:val="center"/>
              <w:rPr>
                <w:rFonts w:ascii="Calibri" w:hAnsi="Calibri"/>
                <w:b/>
                <w:sz w:val="28"/>
                <w:szCs w:val="28"/>
              </w:rPr>
            </w:pPr>
            <w:r>
              <w:rPr>
                <w:rFonts w:ascii="Calibri" w:hAnsi="Calibri"/>
                <w:b/>
                <w:sz w:val="28"/>
                <w:szCs w:val="28"/>
              </w:rPr>
              <w:t>0.547468869</w:t>
            </w:r>
          </w:p>
        </w:tc>
        <w:tc>
          <w:tcPr>
            <w:tcW w:w="1418" w:type="dxa"/>
            <w:shd w:val="clear" w:color="auto" w:fill="FBE4D5" w:themeFill="accent2" w:themeFillTint="33"/>
          </w:tcPr>
          <w:p>
            <w:pPr>
              <w:spacing w:after="0" w:line="240" w:lineRule="auto"/>
              <w:jc w:val="right"/>
              <w:rPr>
                <w:rFonts w:ascii="Calibri" w:hAnsi="Calibri"/>
                <w:b/>
                <w:bCs/>
                <w:color w:val="000000"/>
                <w:sz w:val="32"/>
                <w:szCs w:val="32"/>
              </w:rPr>
            </w:pPr>
            <w:r>
              <w:rPr>
                <w:rFonts w:ascii="Calibri" w:hAnsi="Calibri"/>
                <w:b/>
                <w:bCs/>
                <w:color w:val="000000"/>
                <w:sz w:val="32"/>
                <w:szCs w:val="32"/>
              </w:rPr>
              <w:t>0.001106961</w:t>
            </w:r>
          </w:p>
        </w:tc>
        <w:tc>
          <w:tcPr>
            <w:tcW w:w="1984" w:type="dxa"/>
            <w:shd w:val="clear" w:color="auto" w:fill="FBE4D5" w:themeFill="accent2" w:themeFillTint="33"/>
          </w:tcPr>
          <w:p>
            <w:pPr>
              <w:spacing w:after="0" w:line="240" w:lineRule="auto"/>
              <w:jc w:val="right"/>
              <w:rPr>
                <w:rFonts w:ascii="Calibri" w:hAnsi="Calibri"/>
                <w:b/>
                <w:bCs/>
                <w:color w:val="000000"/>
                <w:sz w:val="32"/>
                <w:szCs w:val="32"/>
              </w:rPr>
            </w:pPr>
          </w:p>
        </w:tc>
      </w:tr>
    </w:tbl>
    <w:p>
      <w:pPr>
        <w:rPr>
          <w:rFonts w:ascii="Arial" w:hAnsi="Arial" w:cs="Arial"/>
          <w:color w:val="111111"/>
          <w:sz w:val="26"/>
          <w:szCs w:val="26"/>
          <w:shd w:val="clear" w:color="auto" w:fill="FFFFFF"/>
        </w:rPr>
      </w:pPr>
    </w:p>
    <w:p>
      <w:pPr>
        <w:pStyle w:val="19"/>
        <w:shd w:val="clear" w:color="auto" w:fill="FFFFFF"/>
        <w:spacing w:before="240" w:beforeAutospacing="0" w:after="0" w:afterAutospacing="0"/>
        <w:rPr>
          <w:rFonts w:asciiTheme="minorHAnsi" w:hAnsiTheme="minorHAnsi" w:eastAsiaTheme="minorHAnsi" w:cstheme="minorBidi"/>
          <w:sz w:val="28"/>
          <w:szCs w:val="28"/>
          <w:lang w:eastAsia="en-US"/>
        </w:rPr>
      </w:pPr>
      <w:r>
        <w:rPr>
          <w:rFonts w:asciiTheme="minorHAnsi" w:hAnsiTheme="minorHAnsi" w:eastAsiaTheme="minorHAnsi" w:cstheme="minorBidi"/>
          <w:sz w:val="28"/>
          <w:szCs w:val="28"/>
          <w:lang w:eastAsia="en-US"/>
        </w:rPr>
        <w:t>We are using security market line and Risk-return ratio for evaluating the securities. Security market line is generally used by the investors in evaluation of a security for inclusion in an investment portfolio in terms of whether the security offers a favourable expected return against its level of risk. When the security is plotted on the SML chart, if it appears above the SML, it is considered undervalued because the position on the chart indicates that the security offers a greater return against its inherent risk. Conversely, if the security plots below the SML, it is considered overvalued in price because the expected return does not overcome the inherent risk.</w:t>
      </w:r>
    </w:p>
    <w:p>
      <w:pPr>
        <w:rPr>
          <w:rFonts w:ascii="Arial" w:hAnsi="Arial" w:cs="Arial"/>
          <w:color w:val="111111"/>
          <w:sz w:val="26"/>
          <w:szCs w:val="26"/>
          <w:shd w:val="clear" w:color="auto" w:fill="FFFFFF"/>
        </w:rPr>
      </w:pPr>
      <w:r>
        <w:rPr>
          <w:lang w:eastAsia="en-IN"/>
        </w:rPr>
        <w:drawing>
          <wp:inline distT="0" distB="0" distL="0" distR="0">
            <wp:extent cx="5731510" cy="238252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19"/>
        <w:shd w:val="clear" w:color="auto" w:fill="FFFFFF"/>
        <w:spacing w:before="240" w:beforeAutospacing="0" w:after="0" w:afterAutospacing="0"/>
        <w:rPr>
          <w:rFonts w:asciiTheme="minorHAnsi" w:hAnsiTheme="minorHAnsi" w:eastAsiaTheme="minorHAnsi" w:cstheme="minorBidi"/>
          <w:sz w:val="28"/>
          <w:szCs w:val="28"/>
          <w:lang w:eastAsia="en-US"/>
        </w:rPr>
      </w:pPr>
      <w:r>
        <w:rPr>
          <w:rFonts w:asciiTheme="minorHAnsi" w:hAnsiTheme="minorHAnsi" w:eastAsiaTheme="minorHAnsi" w:cstheme="minorBidi"/>
          <w:sz w:val="28"/>
          <w:szCs w:val="28"/>
          <w:lang w:eastAsia="en-US"/>
        </w:rPr>
        <w:t xml:space="preserve">Therefore from all this analysis we have concluded that, as BPCL, ADANI GREEN and HDFC appears above the SML, it mean these security are undervalued. And these three security offers a greater return against its inherent risk. And conversely ITC and YESBANK under overvalued in pricing stock. </w:t>
      </w:r>
    </w:p>
    <w:p>
      <w:pPr>
        <w:pStyle w:val="19"/>
        <w:shd w:val="clear" w:color="auto" w:fill="FFFFFF"/>
        <w:spacing w:before="240" w:beforeAutospacing="0" w:after="0" w:afterAutospacing="0"/>
        <w:rPr>
          <w:rFonts w:asciiTheme="minorHAnsi" w:hAnsiTheme="minorHAnsi" w:eastAsiaTheme="minorHAnsi" w:cstheme="minorBidi"/>
          <w:sz w:val="28"/>
          <w:szCs w:val="28"/>
          <w:lang w:eastAsia="en-US"/>
        </w:rPr>
      </w:pPr>
      <w:r>
        <w:rPr>
          <w:rFonts w:asciiTheme="minorHAnsi" w:hAnsiTheme="minorHAnsi" w:eastAsiaTheme="minorHAnsi" w:cstheme="minorBidi"/>
          <w:sz w:val="28"/>
          <w:szCs w:val="28"/>
          <w:lang w:eastAsia="en-US"/>
        </w:rPr>
        <w:t>Risk-return’s ratio is also known as reward-to-volatility ratio. It is used to help the investor understand the return on investment compared to risk. Risk-return ratio of BPCL stock is 0.080 which is greater then other  stock. Second highest risk-return ratio of Adani green is .08 and  third highest risk-return ratio is hdfc 0.012 . Hence 3 stock perform very well( BPCL ,HDFC and ADANI GREEN ),they give Better risk reward ratio. So we will take Position  on these stock.</w:t>
      </w:r>
    </w:p>
    <w:p>
      <w:pPr>
        <w:pStyle w:val="2"/>
        <w:jc w:val="center"/>
      </w:pPr>
      <w:r>
        <w:t>Analysing the optimal porfolio</w:t>
      </w:r>
    </w:p>
    <w:p>
      <w:pPr>
        <w:pStyle w:val="19"/>
        <w:shd w:val="clear" w:color="auto" w:fill="FFFFFF"/>
        <w:spacing w:before="240" w:beforeAutospacing="0" w:after="0" w:afterAutospacing="0"/>
        <w:rPr>
          <w:rFonts w:asciiTheme="minorHAnsi" w:hAnsiTheme="minorHAnsi" w:eastAsiaTheme="minorHAnsi" w:cstheme="minorBidi"/>
          <w:sz w:val="28"/>
          <w:szCs w:val="28"/>
          <w:lang w:eastAsia="en-US"/>
        </w:rPr>
      </w:pPr>
      <w:r>
        <w:rPr>
          <w:rFonts w:asciiTheme="minorHAnsi" w:hAnsiTheme="minorHAnsi" w:eastAsiaTheme="minorHAnsi" w:cstheme="minorBidi"/>
          <w:sz w:val="28"/>
          <w:szCs w:val="28"/>
          <w:lang w:eastAsia="en-US"/>
        </w:rPr>
        <w:t>Now we are evaluating  tolat risk and total return of our portfolio by allocating equal weight of each stock in our portfolio, but now, the problem in allocating equal weight to each stock is that we are not able to obtain the maximum return corresponding to risk(optimal porfolio.</w:t>
      </w:r>
    </w:p>
    <w:p>
      <w:pPr>
        <w:pStyle w:val="19"/>
        <w:shd w:val="clear" w:color="auto" w:fill="FFFFFF"/>
        <w:spacing w:before="240" w:beforeAutospacing="0" w:after="0" w:afterAutospacing="0"/>
        <w:rPr>
          <w:rFonts w:asciiTheme="minorHAnsi" w:hAnsiTheme="minorHAnsi" w:eastAsiaTheme="minorHAnsi" w:cstheme="minorBidi"/>
          <w:sz w:val="28"/>
          <w:szCs w:val="28"/>
          <w:lang w:eastAsia="en-US"/>
        </w:rPr>
      </w:pPr>
    </w:p>
    <w:tbl>
      <w:tblPr>
        <w:tblStyle w:val="27"/>
        <w:tblW w:w="10459" w:type="dxa"/>
        <w:tblInd w:w="-714" w:type="dxa"/>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Layout w:type="autofit"/>
        <w:tblCellMar>
          <w:top w:w="0" w:type="dxa"/>
          <w:left w:w="108" w:type="dxa"/>
          <w:bottom w:w="0" w:type="dxa"/>
          <w:right w:w="108" w:type="dxa"/>
        </w:tblCellMar>
      </w:tblPr>
      <w:tblGrid>
        <w:gridCol w:w="2461"/>
        <w:gridCol w:w="1093"/>
        <w:gridCol w:w="972"/>
        <w:gridCol w:w="1053"/>
        <w:gridCol w:w="1053"/>
        <w:gridCol w:w="1387"/>
        <w:gridCol w:w="1387"/>
        <w:gridCol w:w="1053"/>
      </w:tblGrid>
      <w:tr>
        <w:tblPrEx>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Ex>
        <w:trPr>
          <w:trHeight w:val="295" w:hRule="atLeast"/>
        </w:trPr>
        <w:tc>
          <w:tcPr>
            <w:tcW w:w="2461" w:type="dxa"/>
            <w:tcBorders>
              <w:bottom w:val="single" w:color="FFD965" w:themeColor="accent4" w:themeTint="99" w:sz="12" w:space="0"/>
              <w:insideH w:val="single" w:sz="12" w:space="0"/>
            </w:tcBorders>
            <w:noWrap/>
          </w:tcPr>
          <w:p>
            <w:pPr>
              <w:spacing w:after="0" w:line="240" w:lineRule="auto"/>
              <w:rPr>
                <w:rFonts w:ascii="Calibri" w:hAnsi="Calibri" w:eastAsia="Times New Roman" w:cs="Times New Roman"/>
                <w:b w:val="0"/>
                <w:bCs w:val="0"/>
                <w:color w:val="000000"/>
                <w:lang w:eastAsia="en-IN"/>
              </w:rPr>
            </w:pPr>
            <w:r>
              <w:rPr>
                <w:rFonts w:ascii="Calibri" w:hAnsi="Calibri" w:eastAsia="Times New Roman" w:cs="Times New Roman"/>
                <w:b/>
                <w:bCs/>
                <w:color w:val="000000"/>
                <w:lang w:eastAsia="en-IN"/>
              </w:rPr>
              <w:t> </w:t>
            </w:r>
          </w:p>
        </w:tc>
        <w:tc>
          <w:tcPr>
            <w:tcW w:w="1093" w:type="dxa"/>
            <w:tcBorders>
              <w:bottom w:val="single" w:color="FFD965" w:themeColor="accent4" w:themeTint="99" w:sz="12" w:space="0"/>
              <w:insideH w:val="single" w:sz="12" w:space="0"/>
            </w:tcBorders>
            <w:noWrap/>
          </w:tcPr>
          <w:p>
            <w:pPr>
              <w:spacing w:after="0" w:line="240" w:lineRule="auto"/>
              <w:rPr>
                <w:rFonts w:ascii="Calibri" w:hAnsi="Calibri" w:eastAsia="Times New Roman" w:cs="Times New Roman"/>
                <w:b w:val="0"/>
                <w:bCs w:val="0"/>
                <w:color w:val="000000"/>
                <w:lang w:eastAsia="en-IN"/>
              </w:rPr>
            </w:pPr>
            <w:r>
              <w:rPr>
                <w:rFonts w:ascii="Calibri" w:hAnsi="Calibri" w:eastAsia="Times New Roman" w:cs="Times New Roman"/>
                <w:b/>
                <w:bCs/>
                <w:color w:val="000000"/>
                <w:lang w:eastAsia="en-IN"/>
              </w:rPr>
              <w:t>Return(Y)</w:t>
            </w:r>
          </w:p>
        </w:tc>
        <w:tc>
          <w:tcPr>
            <w:tcW w:w="972" w:type="dxa"/>
            <w:tcBorders>
              <w:bottom w:val="single" w:color="FFD965" w:themeColor="accent4" w:themeTint="99" w:sz="12" w:space="0"/>
              <w:insideH w:val="single" w:sz="12" w:space="0"/>
            </w:tcBorders>
          </w:tcPr>
          <w:p>
            <w:pPr>
              <w:spacing w:after="0" w:line="240" w:lineRule="auto"/>
              <w:rPr>
                <w:b w:val="0"/>
                <w:bCs w:val="0"/>
              </w:rPr>
            </w:pPr>
            <w:r>
              <w:rPr>
                <w:b/>
                <w:bCs/>
              </w:rPr>
              <w:t>W1</w:t>
            </w:r>
          </w:p>
        </w:tc>
        <w:tc>
          <w:tcPr>
            <w:tcW w:w="1053" w:type="dxa"/>
            <w:tcBorders>
              <w:bottom w:val="single" w:color="FFD965" w:themeColor="accent4" w:themeTint="99" w:sz="12" w:space="0"/>
              <w:insideH w:val="single" w:sz="12" w:space="0"/>
            </w:tcBorders>
          </w:tcPr>
          <w:p>
            <w:pPr>
              <w:spacing w:after="0" w:line="240" w:lineRule="auto"/>
              <w:rPr>
                <w:b w:val="0"/>
                <w:bCs w:val="0"/>
                <w:sz w:val="20"/>
                <w:szCs w:val="20"/>
              </w:rPr>
            </w:pPr>
            <w:r>
              <w:rPr>
                <w:b/>
                <w:bCs/>
                <w:sz w:val="20"/>
                <w:szCs w:val="20"/>
              </w:rPr>
              <w:t>W2</w:t>
            </w:r>
          </w:p>
        </w:tc>
        <w:tc>
          <w:tcPr>
            <w:tcW w:w="1053" w:type="dxa"/>
            <w:tcBorders>
              <w:bottom w:val="single" w:color="FFD965" w:themeColor="accent4" w:themeTint="99" w:sz="12" w:space="0"/>
              <w:insideH w:val="single" w:sz="12" w:space="0"/>
            </w:tcBorders>
          </w:tcPr>
          <w:p>
            <w:pPr>
              <w:spacing w:after="0" w:line="240" w:lineRule="auto"/>
              <w:rPr>
                <w:b w:val="0"/>
                <w:bCs w:val="0"/>
                <w:sz w:val="20"/>
                <w:szCs w:val="20"/>
              </w:rPr>
            </w:pPr>
            <w:r>
              <w:rPr>
                <w:b/>
                <w:bCs/>
                <w:sz w:val="20"/>
                <w:szCs w:val="20"/>
              </w:rPr>
              <w:t>W3</w:t>
            </w:r>
          </w:p>
        </w:tc>
        <w:tc>
          <w:tcPr>
            <w:tcW w:w="1387" w:type="dxa"/>
            <w:tcBorders>
              <w:bottom w:val="single" w:color="FFD965" w:themeColor="accent4" w:themeTint="99" w:sz="12" w:space="0"/>
              <w:insideH w:val="single" w:sz="12" w:space="0"/>
            </w:tcBorders>
          </w:tcPr>
          <w:p>
            <w:pPr>
              <w:spacing w:after="0" w:line="240" w:lineRule="auto"/>
              <w:rPr>
                <w:b w:val="0"/>
                <w:bCs w:val="0"/>
                <w:sz w:val="20"/>
                <w:szCs w:val="20"/>
              </w:rPr>
            </w:pPr>
            <w:r>
              <w:rPr>
                <w:b/>
                <w:bCs/>
                <w:sz w:val="20"/>
                <w:szCs w:val="20"/>
              </w:rPr>
              <w:t>W4</w:t>
            </w:r>
          </w:p>
        </w:tc>
        <w:tc>
          <w:tcPr>
            <w:tcW w:w="1387" w:type="dxa"/>
            <w:tcBorders>
              <w:bottom w:val="single" w:color="FFD965" w:themeColor="accent4" w:themeTint="99" w:sz="12" w:space="0"/>
              <w:insideH w:val="single" w:sz="12" w:space="0"/>
            </w:tcBorders>
          </w:tcPr>
          <w:p>
            <w:pPr>
              <w:spacing w:after="0" w:line="240" w:lineRule="auto"/>
              <w:rPr>
                <w:b w:val="0"/>
                <w:bCs w:val="0"/>
                <w:sz w:val="20"/>
                <w:szCs w:val="20"/>
              </w:rPr>
            </w:pPr>
            <w:r>
              <w:rPr>
                <w:b/>
                <w:bCs/>
                <w:sz w:val="20"/>
                <w:szCs w:val="20"/>
              </w:rPr>
              <w:t>W4</w:t>
            </w:r>
          </w:p>
        </w:tc>
        <w:tc>
          <w:tcPr>
            <w:tcW w:w="1053" w:type="dxa"/>
            <w:tcBorders>
              <w:bottom w:val="single" w:color="FFD965" w:themeColor="accent4" w:themeTint="99" w:sz="12" w:space="0"/>
              <w:insideH w:val="single" w:sz="12" w:space="0"/>
            </w:tcBorders>
          </w:tcPr>
          <w:p>
            <w:pPr>
              <w:spacing w:after="0" w:line="240" w:lineRule="auto"/>
              <w:rPr>
                <w:b w:val="0"/>
                <w:bCs w:val="0"/>
                <w:sz w:val="20"/>
                <w:szCs w:val="20"/>
              </w:rPr>
            </w:pPr>
            <w:r>
              <w:rPr>
                <w:b/>
                <w:bCs/>
                <w:sz w:val="20"/>
                <w:szCs w:val="20"/>
              </w:rPr>
              <w:t>W5</w:t>
            </w:r>
          </w:p>
        </w:tc>
      </w:tr>
      <w:tr>
        <w:tblPrEx>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Ex>
        <w:trPr>
          <w:trHeight w:val="280" w:hRule="atLeast"/>
        </w:trPr>
        <w:tc>
          <w:tcPr>
            <w:tcW w:w="2461" w:type="dxa"/>
            <w:noWrap/>
          </w:tcPr>
          <w:p>
            <w:pPr>
              <w:spacing w:after="0" w:line="240" w:lineRule="auto"/>
              <w:rPr>
                <w:rFonts w:ascii="Calibri" w:hAnsi="Calibri" w:eastAsia="Times New Roman" w:cs="Times New Roman"/>
                <w:b w:val="0"/>
                <w:bCs w:val="0"/>
                <w:color w:val="000000"/>
                <w:lang w:eastAsia="en-IN"/>
              </w:rPr>
            </w:pPr>
            <w:r>
              <w:rPr>
                <w:rFonts w:ascii="Calibri" w:hAnsi="Calibri" w:eastAsia="Times New Roman" w:cs="Times New Roman"/>
                <w:b/>
                <w:bCs/>
                <w:color w:val="000000"/>
                <w:lang w:eastAsia="en-IN"/>
              </w:rPr>
              <w:t xml:space="preserve"> stock 1( Adani green)</w:t>
            </w:r>
          </w:p>
        </w:tc>
        <w:tc>
          <w:tcPr>
            <w:tcW w:w="1093" w:type="dxa"/>
            <w:noWrap/>
          </w:tcPr>
          <w:p>
            <w:pPr>
              <w:spacing w:after="0" w:line="240" w:lineRule="auto"/>
              <w:jc w:val="right"/>
              <w:rPr>
                <w:rFonts w:ascii="Calibri" w:hAnsi="Calibri" w:eastAsia="Times New Roman" w:cs="Times New Roman"/>
                <w:color w:val="000000"/>
                <w:lang w:eastAsia="en-IN"/>
              </w:rPr>
            </w:pPr>
            <w:r>
              <w:rPr>
                <w:rFonts w:ascii="Calibri" w:hAnsi="Calibri" w:eastAsia="Times New Roman" w:cs="Times New Roman"/>
                <w:color w:val="000000"/>
                <w:lang w:eastAsia="en-IN"/>
              </w:rPr>
              <w:t>44.00%</w:t>
            </w:r>
          </w:p>
        </w:tc>
        <w:tc>
          <w:tcPr>
            <w:tcW w:w="0" w:type="auto"/>
          </w:tcPr>
          <w:p>
            <w:pPr>
              <w:spacing w:after="0" w:line="240" w:lineRule="auto"/>
              <w:rPr>
                <w:rFonts w:ascii="Calibri" w:hAnsi="Calibri"/>
                <w:color w:val="9C0006"/>
                <w:highlight w:val="yellow"/>
              </w:rPr>
            </w:pPr>
            <w:r>
              <w:rPr>
                <w:rFonts w:ascii="Calibri" w:hAnsi="Calibri"/>
                <w:color w:val="9C0006"/>
                <w:highlight w:val="yellow"/>
              </w:rPr>
              <w:t>variance</w:t>
            </w:r>
          </w:p>
        </w:tc>
        <w:tc>
          <w:tcPr>
            <w:tcW w:w="0" w:type="auto"/>
          </w:tcPr>
          <w:p>
            <w:pPr>
              <w:spacing w:after="0" w:line="240" w:lineRule="auto"/>
              <w:rPr>
                <w:rFonts w:ascii="Calibri" w:hAnsi="Calibri"/>
                <w:color w:val="9C0006"/>
              </w:rPr>
            </w:pPr>
            <w:r>
              <w:rPr>
                <w:rFonts w:ascii="Calibri" w:hAnsi="Calibri"/>
                <w:color w:val="9C0006"/>
              </w:rPr>
              <w:t>stock 1</w:t>
            </w:r>
          </w:p>
        </w:tc>
        <w:tc>
          <w:tcPr>
            <w:tcW w:w="0" w:type="auto"/>
          </w:tcPr>
          <w:p>
            <w:pPr>
              <w:spacing w:after="0" w:line="240" w:lineRule="auto"/>
              <w:rPr>
                <w:rFonts w:ascii="Calibri" w:hAnsi="Calibri"/>
                <w:color w:val="9C0006"/>
              </w:rPr>
            </w:pPr>
            <w:r>
              <w:rPr>
                <w:rFonts w:ascii="Calibri" w:hAnsi="Calibri"/>
                <w:color w:val="9C0006"/>
              </w:rPr>
              <w:t>stock 2</w:t>
            </w:r>
          </w:p>
        </w:tc>
        <w:tc>
          <w:tcPr>
            <w:tcW w:w="0" w:type="auto"/>
          </w:tcPr>
          <w:p>
            <w:pPr>
              <w:spacing w:after="0" w:line="240" w:lineRule="auto"/>
              <w:rPr>
                <w:rFonts w:ascii="Calibri" w:hAnsi="Calibri"/>
                <w:color w:val="9C0006"/>
              </w:rPr>
            </w:pPr>
            <w:r>
              <w:rPr>
                <w:rFonts w:ascii="Calibri" w:hAnsi="Calibri"/>
                <w:color w:val="9C0006"/>
              </w:rPr>
              <w:t>stock 3</w:t>
            </w:r>
          </w:p>
        </w:tc>
        <w:tc>
          <w:tcPr>
            <w:tcW w:w="0" w:type="auto"/>
          </w:tcPr>
          <w:p>
            <w:pPr>
              <w:spacing w:after="0" w:line="240" w:lineRule="auto"/>
              <w:rPr>
                <w:rFonts w:ascii="Calibri" w:hAnsi="Calibri"/>
                <w:color w:val="9C0006"/>
              </w:rPr>
            </w:pPr>
            <w:r>
              <w:rPr>
                <w:rFonts w:ascii="Calibri" w:hAnsi="Calibri"/>
                <w:color w:val="9C0006"/>
              </w:rPr>
              <w:t>stock 4</w:t>
            </w:r>
          </w:p>
        </w:tc>
        <w:tc>
          <w:tcPr>
            <w:tcW w:w="0" w:type="auto"/>
          </w:tcPr>
          <w:p>
            <w:pPr>
              <w:spacing w:after="0" w:line="240" w:lineRule="auto"/>
              <w:rPr>
                <w:rFonts w:ascii="Calibri" w:hAnsi="Calibri"/>
                <w:color w:val="9C0006"/>
              </w:rPr>
            </w:pPr>
            <w:r>
              <w:rPr>
                <w:rFonts w:ascii="Calibri" w:hAnsi="Calibri"/>
                <w:color w:val="9C0006"/>
              </w:rPr>
              <w:t>stock 5</w:t>
            </w:r>
          </w:p>
        </w:tc>
      </w:tr>
      <w:tr>
        <w:tblPrEx>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Ex>
        <w:trPr>
          <w:trHeight w:val="280" w:hRule="atLeast"/>
        </w:trPr>
        <w:tc>
          <w:tcPr>
            <w:tcW w:w="2461" w:type="dxa"/>
            <w:noWrap/>
          </w:tcPr>
          <w:p>
            <w:pPr>
              <w:spacing w:after="0" w:line="240" w:lineRule="auto"/>
              <w:rPr>
                <w:rFonts w:ascii="Calibri" w:hAnsi="Calibri" w:eastAsia="Times New Roman" w:cs="Times New Roman"/>
                <w:b w:val="0"/>
                <w:bCs w:val="0"/>
                <w:color w:val="000000"/>
                <w:lang w:eastAsia="en-IN"/>
              </w:rPr>
            </w:pPr>
            <w:r>
              <w:rPr>
                <w:rFonts w:ascii="Calibri" w:hAnsi="Calibri" w:eastAsia="Times New Roman" w:cs="Times New Roman"/>
                <w:b/>
                <w:bCs/>
                <w:color w:val="000000"/>
                <w:lang w:eastAsia="en-IN"/>
              </w:rPr>
              <w:t>stock 2( Hdfc)</w:t>
            </w:r>
          </w:p>
        </w:tc>
        <w:tc>
          <w:tcPr>
            <w:tcW w:w="1093" w:type="dxa"/>
            <w:noWrap/>
          </w:tcPr>
          <w:p>
            <w:pPr>
              <w:spacing w:after="0" w:line="240" w:lineRule="auto"/>
              <w:jc w:val="right"/>
              <w:rPr>
                <w:rFonts w:ascii="Calibri" w:hAnsi="Calibri" w:eastAsia="Times New Roman" w:cs="Times New Roman"/>
                <w:color w:val="000000"/>
                <w:lang w:eastAsia="en-IN"/>
              </w:rPr>
            </w:pPr>
            <w:r>
              <w:rPr>
                <w:rFonts w:ascii="Calibri" w:hAnsi="Calibri" w:eastAsia="Times New Roman" w:cs="Times New Roman"/>
                <w:color w:val="000000"/>
                <w:lang w:eastAsia="en-IN"/>
              </w:rPr>
              <w:t>12.85%</w:t>
            </w:r>
          </w:p>
        </w:tc>
        <w:tc>
          <w:tcPr>
            <w:tcW w:w="0" w:type="auto"/>
          </w:tcPr>
          <w:p>
            <w:pPr>
              <w:spacing w:after="0" w:line="240" w:lineRule="auto"/>
              <w:rPr>
                <w:rFonts w:ascii="Calibri" w:hAnsi="Calibri"/>
                <w:color w:val="9C0006"/>
              </w:rPr>
            </w:pPr>
            <w:r>
              <w:rPr>
                <w:rFonts w:ascii="Calibri" w:hAnsi="Calibri"/>
                <w:color w:val="9C0006"/>
              </w:rPr>
              <w:t>stock 1</w:t>
            </w:r>
          </w:p>
        </w:tc>
        <w:tc>
          <w:tcPr>
            <w:tcW w:w="0" w:type="auto"/>
          </w:tcPr>
          <w:p>
            <w:pPr>
              <w:spacing w:after="0" w:line="240" w:lineRule="auto"/>
              <w:jc w:val="right"/>
              <w:rPr>
                <w:rFonts w:ascii="Calibri" w:hAnsi="Calibri"/>
                <w:color w:val="9C0006"/>
              </w:rPr>
            </w:pPr>
            <w:r>
              <w:rPr>
                <w:rFonts w:ascii="Calibri" w:hAnsi="Calibri"/>
                <w:color w:val="9C0006"/>
              </w:rPr>
              <w:t>0.001216</w:t>
            </w:r>
          </w:p>
        </w:tc>
        <w:tc>
          <w:tcPr>
            <w:tcW w:w="0" w:type="auto"/>
          </w:tcPr>
          <w:p>
            <w:pPr>
              <w:spacing w:after="0" w:line="240" w:lineRule="auto"/>
              <w:jc w:val="right"/>
              <w:rPr>
                <w:rFonts w:ascii="Calibri" w:hAnsi="Calibri"/>
                <w:color w:val="9C0006"/>
              </w:rPr>
            </w:pPr>
            <w:r>
              <w:rPr>
                <w:rFonts w:ascii="Calibri" w:hAnsi="Calibri"/>
                <w:color w:val="9C0006"/>
              </w:rPr>
              <w:t>9.63E-05</w:t>
            </w:r>
          </w:p>
        </w:tc>
        <w:tc>
          <w:tcPr>
            <w:tcW w:w="0" w:type="auto"/>
          </w:tcPr>
          <w:p>
            <w:pPr>
              <w:spacing w:after="0" w:line="240" w:lineRule="auto"/>
              <w:jc w:val="right"/>
              <w:rPr>
                <w:rFonts w:ascii="Calibri" w:hAnsi="Calibri"/>
                <w:color w:val="9C0006"/>
              </w:rPr>
            </w:pPr>
            <w:r>
              <w:rPr>
                <w:rFonts w:ascii="Calibri" w:hAnsi="Calibri"/>
                <w:color w:val="9C0006"/>
              </w:rPr>
              <w:t>0.000110429</w:t>
            </w:r>
          </w:p>
        </w:tc>
        <w:tc>
          <w:tcPr>
            <w:tcW w:w="0" w:type="auto"/>
          </w:tcPr>
          <w:p>
            <w:pPr>
              <w:spacing w:after="0" w:line="240" w:lineRule="auto"/>
              <w:jc w:val="right"/>
              <w:rPr>
                <w:rFonts w:ascii="Calibri" w:hAnsi="Calibri"/>
                <w:color w:val="9C0006"/>
              </w:rPr>
            </w:pPr>
            <w:r>
              <w:rPr>
                <w:rFonts w:ascii="Calibri" w:hAnsi="Calibri"/>
                <w:color w:val="9C0006"/>
              </w:rPr>
              <w:t>9.13857E-05</w:t>
            </w:r>
          </w:p>
        </w:tc>
        <w:tc>
          <w:tcPr>
            <w:tcW w:w="0" w:type="auto"/>
          </w:tcPr>
          <w:p>
            <w:pPr>
              <w:spacing w:after="0" w:line="240" w:lineRule="auto"/>
              <w:jc w:val="right"/>
              <w:rPr>
                <w:rFonts w:ascii="Calibri" w:hAnsi="Calibri"/>
                <w:color w:val="9C0006"/>
              </w:rPr>
            </w:pPr>
            <w:r>
              <w:rPr>
                <w:rFonts w:ascii="Calibri" w:hAnsi="Calibri"/>
                <w:color w:val="9C0006"/>
              </w:rPr>
              <w:t>0.000477</w:t>
            </w:r>
          </w:p>
        </w:tc>
      </w:tr>
      <w:tr>
        <w:tblPrEx>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Ex>
        <w:trPr>
          <w:trHeight w:val="280" w:hRule="atLeast"/>
        </w:trPr>
        <w:tc>
          <w:tcPr>
            <w:tcW w:w="2461" w:type="dxa"/>
            <w:noWrap/>
          </w:tcPr>
          <w:p>
            <w:pPr>
              <w:spacing w:after="0" w:line="240" w:lineRule="auto"/>
              <w:rPr>
                <w:rFonts w:ascii="Calibri" w:hAnsi="Calibri" w:eastAsia="Times New Roman" w:cs="Times New Roman"/>
                <w:b w:val="0"/>
                <w:bCs w:val="0"/>
                <w:color w:val="000000"/>
                <w:lang w:eastAsia="en-IN"/>
              </w:rPr>
            </w:pPr>
            <w:r>
              <w:rPr>
                <w:rFonts w:ascii="Calibri" w:hAnsi="Calibri" w:eastAsia="Times New Roman" w:cs="Times New Roman"/>
                <w:b/>
                <w:bCs/>
                <w:color w:val="000000"/>
                <w:lang w:eastAsia="en-IN"/>
              </w:rPr>
              <w:t>stock 3 (BPCL)</w:t>
            </w:r>
          </w:p>
        </w:tc>
        <w:tc>
          <w:tcPr>
            <w:tcW w:w="1093" w:type="dxa"/>
            <w:noWrap/>
          </w:tcPr>
          <w:p>
            <w:pPr>
              <w:spacing w:after="0" w:line="240" w:lineRule="auto"/>
              <w:jc w:val="right"/>
              <w:rPr>
                <w:rFonts w:ascii="Calibri" w:hAnsi="Calibri" w:eastAsia="Times New Roman" w:cs="Times New Roman"/>
                <w:color w:val="000000"/>
                <w:lang w:eastAsia="en-IN"/>
              </w:rPr>
            </w:pPr>
            <w:r>
              <w:rPr>
                <w:rFonts w:ascii="Calibri" w:hAnsi="Calibri" w:eastAsia="Times New Roman" w:cs="Times New Roman"/>
                <w:color w:val="000000"/>
                <w:lang w:eastAsia="en-IN"/>
              </w:rPr>
              <w:t>60.27%</w:t>
            </w:r>
          </w:p>
        </w:tc>
        <w:tc>
          <w:tcPr>
            <w:tcW w:w="0" w:type="auto"/>
          </w:tcPr>
          <w:p>
            <w:pPr>
              <w:spacing w:after="0" w:line="240" w:lineRule="auto"/>
              <w:rPr>
                <w:rFonts w:ascii="Calibri" w:hAnsi="Calibri"/>
                <w:color w:val="9C0006"/>
              </w:rPr>
            </w:pPr>
            <w:r>
              <w:rPr>
                <w:rFonts w:ascii="Calibri" w:hAnsi="Calibri"/>
                <w:color w:val="9C0006"/>
              </w:rPr>
              <w:t>stock 2</w:t>
            </w:r>
          </w:p>
        </w:tc>
        <w:tc>
          <w:tcPr>
            <w:tcW w:w="0" w:type="auto"/>
          </w:tcPr>
          <w:p>
            <w:pPr>
              <w:spacing w:after="0" w:line="240" w:lineRule="auto"/>
              <w:jc w:val="right"/>
              <w:rPr>
                <w:rFonts w:ascii="Calibri" w:hAnsi="Calibri"/>
                <w:color w:val="9C0006"/>
              </w:rPr>
            </w:pPr>
            <w:r>
              <w:rPr>
                <w:rFonts w:ascii="Calibri" w:hAnsi="Calibri"/>
                <w:color w:val="9C0006"/>
              </w:rPr>
              <w:t>9.63E-05</w:t>
            </w:r>
          </w:p>
        </w:tc>
        <w:tc>
          <w:tcPr>
            <w:tcW w:w="0" w:type="auto"/>
          </w:tcPr>
          <w:p>
            <w:pPr>
              <w:spacing w:after="0" w:line="240" w:lineRule="auto"/>
              <w:jc w:val="right"/>
              <w:rPr>
                <w:rFonts w:ascii="Calibri" w:hAnsi="Calibri"/>
                <w:color w:val="9C0006"/>
              </w:rPr>
            </w:pPr>
            <w:r>
              <w:rPr>
                <w:rFonts w:ascii="Calibri" w:hAnsi="Calibri"/>
                <w:color w:val="9C0006"/>
              </w:rPr>
              <w:t>0.000241</w:t>
            </w:r>
          </w:p>
        </w:tc>
        <w:tc>
          <w:tcPr>
            <w:tcW w:w="0" w:type="auto"/>
          </w:tcPr>
          <w:p>
            <w:pPr>
              <w:spacing w:after="0" w:line="240" w:lineRule="auto"/>
              <w:jc w:val="right"/>
              <w:rPr>
                <w:rFonts w:ascii="Calibri" w:hAnsi="Calibri"/>
                <w:color w:val="9C0006"/>
              </w:rPr>
            </w:pPr>
            <w:r>
              <w:rPr>
                <w:rFonts w:ascii="Calibri" w:hAnsi="Calibri"/>
                <w:color w:val="9C0006"/>
              </w:rPr>
              <w:t>9.73807E-05</w:t>
            </w:r>
          </w:p>
        </w:tc>
        <w:tc>
          <w:tcPr>
            <w:tcW w:w="0" w:type="auto"/>
          </w:tcPr>
          <w:p>
            <w:pPr>
              <w:spacing w:after="0" w:line="240" w:lineRule="auto"/>
              <w:jc w:val="right"/>
              <w:rPr>
                <w:rFonts w:ascii="Calibri" w:hAnsi="Calibri"/>
                <w:color w:val="9C0006"/>
              </w:rPr>
            </w:pPr>
            <w:r>
              <w:rPr>
                <w:rFonts w:ascii="Calibri" w:hAnsi="Calibri"/>
                <w:color w:val="9C0006"/>
              </w:rPr>
              <w:t>8.11258E-05</w:t>
            </w:r>
          </w:p>
        </w:tc>
        <w:tc>
          <w:tcPr>
            <w:tcW w:w="0" w:type="auto"/>
          </w:tcPr>
          <w:p>
            <w:pPr>
              <w:spacing w:after="0" w:line="240" w:lineRule="auto"/>
              <w:jc w:val="right"/>
              <w:rPr>
                <w:rFonts w:ascii="Calibri" w:hAnsi="Calibri"/>
                <w:color w:val="9C0006"/>
              </w:rPr>
            </w:pPr>
            <w:r>
              <w:rPr>
                <w:rFonts w:ascii="Calibri" w:hAnsi="Calibri"/>
                <w:color w:val="9C0006"/>
              </w:rPr>
              <w:t>9.18E-05</w:t>
            </w:r>
          </w:p>
        </w:tc>
      </w:tr>
      <w:tr>
        <w:tblPrEx>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Ex>
        <w:trPr>
          <w:trHeight w:val="280" w:hRule="atLeast"/>
        </w:trPr>
        <w:tc>
          <w:tcPr>
            <w:tcW w:w="2461" w:type="dxa"/>
            <w:noWrap/>
          </w:tcPr>
          <w:p>
            <w:pPr>
              <w:spacing w:after="0" w:line="240" w:lineRule="auto"/>
              <w:rPr>
                <w:rFonts w:ascii="Calibri" w:hAnsi="Calibri" w:eastAsia="Times New Roman" w:cs="Times New Roman"/>
                <w:b w:val="0"/>
                <w:bCs w:val="0"/>
                <w:color w:val="000000"/>
                <w:lang w:eastAsia="en-IN"/>
              </w:rPr>
            </w:pPr>
            <w:r>
              <w:rPr>
                <w:rFonts w:ascii="Calibri" w:hAnsi="Calibri" w:eastAsia="Times New Roman" w:cs="Times New Roman"/>
                <w:b/>
                <w:bCs/>
                <w:color w:val="000000"/>
                <w:lang w:eastAsia="en-IN"/>
              </w:rPr>
              <w:t>stock 4 (ITC  )</w:t>
            </w:r>
          </w:p>
        </w:tc>
        <w:tc>
          <w:tcPr>
            <w:tcW w:w="1093" w:type="dxa"/>
            <w:noWrap/>
          </w:tcPr>
          <w:p>
            <w:pPr>
              <w:spacing w:after="0" w:line="240" w:lineRule="auto"/>
              <w:jc w:val="right"/>
              <w:rPr>
                <w:rFonts w:ascii="Calibri" w:hAnsi="Calibri" w:eastAsia="Times New Roman" w:cs="Times New Roman"/>
                <w:color w:val="000000"/>
                <w:lang w:eastAsia="en-IN"/>
              </w:rPr>
            </w:pPr>
            <w:r>
              <w:rPr>
                <w:rFonts w:ascii="Calibri" w:hAnsi="Calibri" w:eastAsia="Times New Roman" w:cs="Times New Roman"/>
                <w:color w:val="000000"/>
                <w:lang w:eastAsia="en-IN"/>
              </w:rPr>
              <w:t>-5.36%</w:t>
            </w:r>
          </w:p>
        </w:tc>
        <w:tc>
          <w:tcPr>
            <w:tcW w:w="0" w:type="auto"/>
          </w:tcPr>
          <w:p>
            <w:pPr>
              <w:spacing w:after="0" w:line="240" w:lineRule="auto"/>
              <w:rPr>
                <w:rFonts w:ascii="Calibri" w:hAnsi="Calibri"/>
                <w:color w:val="9C0006"/>
              </w:rPr>
            </w:pPr>
            <w:r>
              <w:rPr>
                <w:rFonts w:ascii="Calibri" w:hAnsi="Calibri"/>
                <w:color w:val="9C0006"/>
              </w:rPr>
              <w:t>stock 3</w:t>
            </w:r>
          </w:p>
        </w:tc>
        <w:tc>
          <w:tcPr>
            <w:tcW w:w="0" w:type="auto"/>
          </w:tcPr>
          <w:p>
            <w:pPr>
              <w:spacing w:after="0" w:line="240" w:lineRule="auto"/>
              <w:jc w:val="right"/>
              <w:rPr>
                <w:rFonts w:ascii="Calibri" w:hAnsi="Calibri"/>
                <w:color w:val="9C0006"/>
              </w:rPr>
            </w:pPr>
            <w:r>
              <w:rPr>
                <w:rFonts w:ascii="Calibri" w:hAnsi="Calibri"/>
                <w:color w:val="9C0006"/>
              </w:rPr>
              <w:t>0.00011</w:t>
            </w:r>
          </w:p>
        </w:tc>
        <w:tc>
          <w:tcPr>
            <w:tcW w:w="0" w:type="auto"/>
          </w:tcPr>
          <w:p>
            <w:pPr>
              <w:spacing w:after="0" w:line="240" w:lineRule="auto"/>
              <w:jc w:val="right"/>
              <w:rPr>
                <w:rFonts w:ascii="Calibri" w:hAnsi="Calibri"/>
                <w:color w:val="9C0006"/>
              </w:rPr>
            </w:pPr>
            <w:r>
              <w:rPr>
                <w:rFonts w:ascii="Calibri" w:hAnsi="Calibri"/>
                <w:color w:val="9C0006"/>
              </w:rPr>
              <w:t>9.74E-05</w:t>
            </w:r>
          </w:p>
        </w:tc>
        <w:tc>
          <w:tcPr>
            <w:tcW w:w="0" w:type="auto"/>
          </w:tcPr>
          <w:p>
            <w:pPr>
              <w:spacing w:after="0" w:line="240" w:lineRule="auto"/>
              <w:jc w:val="right"/>
              <w:rPr>
                <w:rFonts w:ascii="Calibri" w:hAnsi="Calibri"/>
                <w:color w:val="9C0006"/>
              </w:rPr>
            </w:pPr>
            <w:r>
              <w:rPr>
                <w:rFonts w:ascii="Calibri" w:hAnsi="Calibri"/>
                <w:color w:val="9C0006"/>
              </w:rPr>
              <w:t>0.000565161</w:t>
            </w:r>
          </w:p>
        </w:tc>
        <w:tc>
          <w:tcPr>
            <w:tcW w:w="0" w:type="auto"/>
          </w:tcPr>
          <w:p>
            <w:pPr>
              <w:spacing w:after="0" w:line="240" w:lineRule="auto"/>
              <w:jc w:val="right"/>
              <w:rPr>
                <w:rFonts w:ascii="Calibri" w:hAnsi="Calibri"/>
                <w:color w:val="9C0006"/>
              </w:rPr>
            </w:pPr>
            <w:r>
              <w:rPr>
                <w:rFonts w:ascii="Calibri" w:hAnsi="Calibri"/>
                <w:color w:val="9C0006"/>
              </w:rPr>
              <w:t>8.94516E-05</w:t>
            </w:r>
          </w:p>
        </w:tc>
        <w:tc>
          <w:tcPr>
            <w:tcW w:w="0" w:type="auto"/>
          </w:tcPr>
          <w:p>
            <w:pPr>
              <w:spacing w:after="0" w:line="240" w:lineRule="auto"/>
              <w:jc w:val="right"/>
              <w:rPr>
                <w:rFonts w:ascii="Calibri" w:hAnsi="Calibri"/>
                <w:color w:val="9C0006"/>
              </w:rPr>
            </w:pPr>
            <w:r>
              <w:rPr>
                <w:rFonts w:ascii="Calibri" w:hAnsi="Calibri"/>
                <w:color w:val="9C0006"/>
              </w:rPr>
              <w:t>0.000169</w:t>
            </w:r>
          </w:p>
        </w:tc>
      </w:tr>
      <w:tr>
        <w:tblPrEx>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Ex>
        <w:trPr>
          <w:trHeight w:val="280" w:hRule="atLeast"/>
        </w:trPr>
        <w:tc>
          <w:tcPr>
            <w:tcW w:w="2461" w:type="dxa"/>
            <w:noWrap/>
          </w:tcPr>
          <w:p>
            <w:pPr>
              <w:spacing w:after="0" w:line="240" w:lineRule="auto"/>
              <w:rPr>
                <w:rFonts w:ascii="Calibri" w:hAnsi="Calibri" w:eastAsia="Times New Roman" w:cs="Times New Roman"/>
                <w:b w:val="0"/>
                <w:bCs w:val="0"/>
                <w:color w:val="000000"/>
                <w:lang w:eastAsia="en-IN"/>
              </w:rPr>
            </w:pPr>
            <w:r>
              <w:rPr>
                <w:rFonts w:ascii="Calibri" w:hAnsi="Calibri" w:eastAsia="Times New Roman" w:cs="Times New Roman"/>
                <w:b/>
                <w:bCs/>
                <w:color w:val="000000"/>
                <w:lang w:eastAsia="en-IN"/>
              </w:rPr>
              <w:t>stock 5( Yesbank)</w:t>
            </w:r>
          </w:p>
        </w:tc>
        <w:tc>
          <w:tcPr>
            <w:tcW w:w="1093" w:type="dxa"/>
            <w:noWrap/>
          </w:tcPr>
          <w:p>
            <w:pPr>
              <w:spacing w:after="0" w:line="240" w:lineRule="auto"/>
              <w:jc w:val="right"/>
              <w:rPr>
                <w:rFonts w:ascii="Calibri" w:hAnsi="Calibri" w:eastAsia="Times New Roman" w:cs="Times New Roman"/>
                <w:color w:val="000000"/>
                <w:lang w:eastAsia="en-IN"/>
              </w:rPr>
            </w:pPr>
            <w:r>
              <w:rPr>
                <w:rFonts w:ascii="Calibri" w:hAnsi="Calibri" w:eastAsia="Times New Roman" w:cs="Times New Roman"/>
                <w:color w:val="000000"/>
                <w:lang w:eastAsia="en-IN"/>
              </w:rPr>
              <w:t>-160.39%</w:t>
            </w:r>
          </w:p>
        </w:tc>
        <w:tc>
          <w:tcPr>
            <w:tcW w:w="0" w:type="auto"/>
          </w:tcPr>
          <w:p>
            <w:pPr>
              <w:spacing w:after="0" w:line="240" w:lineRule="auto"/>
              <w:rPr>
                <w:rFonts w:ascii="Calibri" w:hAnsi="Calibri"/>
                <w:color w:val="9C0006"/>
              </w:rPr>
            </w:pPr>
            <w:r>
              <w:rPr>
                <w:rFonts w:ascii="Calibri" w:hAnsi="Calibri"/>
                <w:color w:val="9C0006"/>
              </w:rPr>
              <w:t>stock 4</w:t>
            </w:r>
          </w:p>
        </w:tc>
        <w:tc>
          <w:tcPr>
            <w:tcW w:w="0" w:type="auto"/>
          </w:tcPr>
          <w:p>
            <w:pPr>
              <w:spacing w:after="0" w:line="240" w:lineRule="auto"/>
              <w:jc w:val="right"/>
              <w:rPr>
                <w:rFonts w:ascii="Calibri" w:hAnsi="Calibri"/>
                <w:color w:val="9C0006"/>
              </w:rPr>
            </w:pPr>
            <w:r>
              <w:rPr>
                <w:rFonts w:ascii="Calibri" w:hAnsi="Calibri"/>
                <w:color w:val="9C0006"/>
              </w:rPr>
              <w:t>9.14E-05</w:t>
            </w:r>
          </w:p>
        </w:tc>
        <w:tc>
          <w:tcPr>
            <w:tcW w:w="0" w:type="auto"/>
          </w:tcPr>
          <w:p>
            <w:pPr>
              <w:spacing w:after="0" w:line="240" w:lineRule="auto"/>
              <w:jc w:val="right"/>
              <w:rPr>
                <w:rFonts w:ascii="Calibri" w:hAnsi="Calibri"/>
                <w:color w:val="9C0006"/>
              </w:rPr>
            </w:pPr>
            <w:r>
              <w:rPr>
                <w:rFonts w:ascii="Calibri" w:hAnsi="Calibri"/>
                <w:color w:val="9C0006"/>
              </w:rPr>
              <w:t>8.11E-05</w:t>
            </w:r>
          </w:p>
        </w:tc>
        <w:tc>
          <w:tcPr>
            <w:tcW w:w="0" w:type="auto"/>
          </w:tcPr>
          <w:p>
            <w:pPr>
              <w:spacing w:after="0" w:line="240" w:lineRule="auto"/>
              <w:jc w:val="right"/>
              <w:rPr>
                <w:rFonts w:ascii="Calibri" w:hAnsi="Calibri"/>
                <w:color w:val="9C0006"/>
              </w:rPr>
            </w:pPr>
            <w:r>
              <w:rPr>
                <w:rFonts w:ascii="Calibri" w:hAnsi="Calibri"/>
                <w:color w:val="9C0006"/>
              </w:rPr>
              <w:t>8.94516E-05</w:t>
            </w:r>
          </w:p>
        </w:tc>
        <w:tc>
          <w:tcPr>
            <w:tcW w:w="0" w:type="auto"/>
          </w:tcPr>
          <w:p>
            <w:pPr>
              <w:spacing w:after="0" w:line="240" w:lineRule="auto"/>
              <w:jc w:val="right"/>
              <w:rPr>
                <w:rFonts w:ascii="Calibri" w:hAnsi="Calibri"/>
                <w:color w:val="9C0006"/>
              </w:rPr>
            </w:pPr>
            <w:r>
              <w:rPr>
                <w:rFonts w:ascii="Calibri" w:hAnsi="Calibri"/>
                <w:color w:val="9C0006"/>
              </w:rPr>
              <w:t>0.000169791</w:t>
            </w:r>
          </w:p>
        </w:tc>
        <w:tc>
          <w:tcPr>
            <w:tcW w:w="0" w:type="auto"/>
          </w:tcPr>
          <w:p>
            <w:pPr>
              <w:spacing w:after="0" w:line="240" w:lineRule="auto"/>
              <w:jc w:val="right"/>
              <w:rPr>
                <w:rFonts w:ascii="Calibri" w:hAnsi="Calibri"/>
                <w:color w:val="9C0006"/>
              </w:rPr>
            </w:pPr>
            <w:r>
              <w:rPr>
                <w:rFonts w:ascii="Calibri" w:hAnsi="Calibri"/>
                <w:color w:val="9C0006"/>
              </w:rPr>
              <w:t>0.000134</w:t>
            </w:r>
          </w:p>
        </w:tc>
      </w:tr>
      <w:tr>
        <w:tblPrEx>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CellMar>
            <w:top w:w="0" w:type="dxa"/>
            <w:left w:w="108" w:type="dxa"/>
            <w:bottom w:w="0" w:type="dxa"/>
            <w:right w:w="108" w:type="dxa"/>
          </w:tblCellMar>
        </w:tblPrEx>
        <w:trPr>
          <w:trHeight w:val="280" w:hRule="atLeast"/>
        </w:trPr>
        <w:tc>
          <w:tcPr>
            <w:tcW w:w="2461" w:type="dxa"/>
            <w:noWrap/>
          </w:tcPr>
          <w:p>
            <w:pPr>
              <w:spacing w:after="0" w:line="240" w:lineRule="auto"/>
              <w:rPr>
                <w:rFonts w:ascii="Calibri" w:hAnsi="Calibri" w:eastAsia="Times New Roman" w:cs="Times New Roman"/>
                <w:b w:val="0"/>
                <w:bCs w:val="0"/>
                <w:color w:val="000000"/>
                <w:lang w:eastAsia="en-IN"/>
              </w:rPr>
            </w:pPr>
          </w:p>
        </w:tc>
        <w:tc>
          <w:tcPr>
            <w:tcW w:w="1093" w:type="dxa"/>
            <w:noWrap/>
          </w:tcPr>
          <w:p>
            <w:pPr>
              <w:spacing w:after="0" w:line="240" w:lineRule="auto"/>
              <w:jc w:val="right"/>
              <w:rPr>
                <w:rFonts w:ascii="Calibri" w:hAnsi="Calibri" w:eastAsia="Times New Roman" w:cs="Times New Roman"/>
                <w:color w:val="000000"/>
                <w:lang w:eastAsia="en-IN"/>
              </w:rPr>
            </w:pPr>
          </w:p>
        </w:tc>
        <w:tc>
          <w:tcPr>
            <w:tcW w:w="0" w:type="auto"/>
          </w:tcPr>
          <w:p>
            <w:pPr>
              <w:spacing w:after="0" w:line="240" w:lineRule="auto"/>
              <w:rPr>
                <w:rFonts w:ascii="Calibri" w:hAnsi="Calibri"/>
                <w:color w:val="9C0006"/>
              </w:rPr>
            </w:pPr>
            <w:r>
              <w:rPr>
                <w:rFonts w:ascii="Calibri" w:hAnsi="Calibri"/>
                <w:color w:val="9C0006"/>
              </w:rPr>
              <w:t>stock 5</w:t>
            </w:r>
          </w:p>
        </w:tc>
        <w:tc>
          <w:tcPr>
            <w:tcW w:w="0" w:type="auto"/>
          </w:tcPr>
          <w:p>
            <w:pPr>
              <w:spacing w:after="0" w:line="240" w:lineRule="auto"/>
              <w:jc w:val="right"/>
              <w:rPr>
                <w:rFonts w:ascii="Calibri" w:hAnsi="Calibri"/>
                <w:color w:val="9C0006"/>
              </w:rPr>
            </w:pPr>
            <w:r>
              <w:rPr>
                <w:rFonts w:ascii="Calibri" w:hAnsi="Calibri"/>
                <w:color w:val="9C0006"/>
              </w:rPr>
              <w:t>0.000477</w:t>
            </w:r>
          </w:p>
        </w:tc>
        <w:tc>
          <w:tcPr>
            <w:tcW w:w="0" w:type="auto"/>
          </w:tcPr>
          <w:p>
            <w:pPr>
              <w:spacing w:after="0" w:line="240" w:lineRule="auto"/>
              <w:jc w:val="right"/>
              <w:rPr>
                <w:rFonts w:ascii="Calibri" w:hAnsi="Calibri"/>
                <w:color w:val="9C0006"/>
              </w:rPr>
            </w:pPr>
            <w:r>
              <w:rPr>
                <w:rFonts w:ascii="Calibri" w:hAnsi="Calibri"/>
                <w:color w:val="9C0006"/>
              </w:rPr>
              <w:t>9.18E-05</w:t>
            </w:r>
          </w:p>
        </w:tc>
        <w:tc>
          <w:tcPr>
            <w:tcW w:w="0" w:type="auto"/>
          </w:tcPr>
          <w:p>
            <w:pPr>
              <w:spacing w:after="0" w:line="240" w:lineRule="auto"/>
              <w:jc w:val="right"/>
              <w:rPr>
                <w:rFonts w:ascii="Calibri" w:hAnsi="Calibri"/>
                <w:color w:val="9C0006"/>
              </w:rPr>
            </w:pPr>
            <w:r>
              <w:rPr>
                <w:rFonts w:ascii="Calibri" w:hAnsi="Calibri"/>
                <w:color w:val="9C0006"/>
              </w:rPr>
              <w:t>0.000168767</w:t>
            </w:r>
          </w:p>
        </w:tc>
        <w:tc>
          <w:tcPr>
            <w:tcW w:w="0" w:type="auto"/>
          </w:tcPr>
          <w:p>
            <w:pPr>
              <w:spacing w:after="0" w:line="240" w:lineRule="auto"/>
              <w:jc w:val="right"/>
              <w:rPr>
                <w:rFonts w:ascii="Calibri" w:hAnsi="Calibri"/>
                <w:color w:val="9C0006"/>
              </w:rPr>
            </w:pPr>
            <w:r>
              <w:rPr>
                <w:rFonts w:ascii="Calibri" w:hAnsi="Calibri"/>
                <w:color w:val="9C0006"/>
              </w:rPr>
              <w:t>0.000133571</w:t>
            </w:r>
          </w:p>
        </w:tc>
        <w:tc>
          <w:tcPr>
            <w:tcW w:w="0" w:type="auto"/>
          </w:tcPr>
          <w:p>
            <w:pPr>
              <w:spacing w:after="0" w:line="240" w:lineRule="auto"/>
              <w:jc w:val="right"/>
              <w:rPr>
                <w:rFonts w:ascii="Calibri" w:hAnsi="Calibri"/>
                <w:color w:val="9C0006"/>
              </w:rPr>
            </w:pPr>
            <w:r>
              <w:rPr>
                <w:rFonts w:ascii="Calibri" w:hAnsi="Calibri"/>
                <w:color w:val="9C0006"/>
              </w:rPr>
              <w:t>0.002799</w:t>
            </w:r>
          </w:p>
        </w:tc>
      </w:tr>
    </w:tbl>
    <w:p>
      <w:pPr>
        <w:pStyle w:val="19"/>
        <w:shd w:val="clear" w:color="auto" w:fill="FFFFFF"/>
        <w:spacing w:before="240" w:beforeAutospacing="0" w:after="0" w:afterAutospacing="0"/>
        <w:rPr>
          <w:sz w:val="28"/>
          <w:szCs w:val="28"/>
        </w:rPr>
      </w:pPr>
    </w:p>
    <w:tbl>
      <w:tblPr>
        <w:tblStyle w:val="14"/>
        <w:tblW w:w="5087" w:type="dxa"/>
        <w:tblInd w:w="0" w:type="dxa"/>
        <w:tblLayout w:type="autofit"/>
        <w:tblCellMar>
          <w:top w:w="0" w:type="dxa"/>
          <w:left w:w="108" w:type="dxa"/>
          <w:bottom w:w="0" w:type="dxa"/>
          <w:right w:w="108" w:type="dxa"/>
        </w:tblCellMar>
      </w:tblPr>
      <w:tblGrid>
        <w:gridCol w:w="1400"/>
        <w:gridCol w:w="2720"/>
        <w:gridCol w:w="967"/>
      </w:tblGrid>
      <w:tr>
        <w:tblPrEx>
          <w:tblCellMar>
            <w:top w:w="0" w:type="dxa"/>
            <w:left w:w="108" w:type="dxa"/>
            <w:bottom w:w="0" w:type="dxa"/>
            <w:right w:w="108" w:type="dxa"/>
          </w:tblCellMar>
        </w:tblPrEx>
        <w:trPr>
          <w:trHeight w:val="300" w:hRule="atLeast"/>
        </w:trPr>
        <w:tc>
          <w:tcPr>
            <w:tcW w:w="1400" w:type="dxa"/>
            <w:tcBorders>
              <w:bottom w:val="single" w:color="7E7E7E" w:themeColor="text1" w:themeTint="80" w:sz="4" w:space="0"/>
              <w:right w:val="nil"/>
              <w:insideH w:val="single" w:sz="4" w:space="0"/>
            </w:tcBorders>
            <w:noWrap/>
          </w:tcPr>
          <w:p>
            <w:pPr>
              <w:spacing w:after="0" w:line="240" w:lineRule="auto"/>
              <w:rPr>
                <w:rFonts w:ascii="Calibri" w:hAnsi="Calibri" w:eastAsia="Times New Roman" w:cs="Times New Roman"/>
                <w:b w:val="0"/>
                <w:bCs w:val="0"/>
                <w:caps/>
                <w:color w:val="FA7D00"/>
                <w:lang w:eastAsia="en-IN"/>
              </w:rPr>
            </w:pPr>
          </w:p>
        </w:tc>
        <w:tc>
          <w:tcPr>
            <w:tcW w:w="2720" w:type="dxa"/>
            <w:tcBorders>
              <w:bottom w:val="single" w:color="7E7E7E" w:themeColor="text1" w:themeTint="80" w:sz="4" w:space="0"/>
              <w:insideH w:val="single" w:sz="4" w:space="0"/>
            </w:tcBorders>
            <w:noWrap/>
          </w:tcPr>
          <w:p>
            <w:pPr>
              <w:spacing w:after="0" w:line="240" w:lineRule="auto"/>
              <w:rPr>
                <w:rFonts w:ascii="Calibri" w:hAnsi="Calibri" w:eastAsia="Times New Roman" w:cs="Times New Roman"/>
                <w:b w:val="0"/>
                <w:bCs w:val="0"/>
                <w:caps/>
                <w:color w:val="FA7D00"/>
                <w:lang w:eastAsia="en-IN"/>
              </w:rPr>
            </w:pPr>
            <w:r>
              <w:rPr>
                <w:rFonts w:ascii="Calibri" w:hAnsi="Calibri" w:eastAsia="Times New Roman" w:cs="Times New Roman"/>
                <w:b/>
                <w:bCs/>
                <w:caps/>
                <w:color w:val="FA7D00"/>
                <w:lang w:eastAsia="en-IN"/>
              </w:rPr>
              <w:t>Equally-Weighted Portfolio</w:t>
            </w:r>
          </w:p>
        </w:tc>
        <w:tc>
          <w:tcPr>
            <w:tcW w:w="967" w:type="dxa"/>
            <w:tcBorders>
              <w:bottom w:val="single" w:color="7E7E7E" w:themeColor="text1" w:themeTint="80" w:sz="4" w:space="0"/>
              <w:insideH w:val="single" w:sz="4" w:space="0"/>
            </w:tcBorders>
            <w:noWrap/>
          </w:tcPr>
          <w:p>
            <w:pPr>
              <w:spacing w:after="0" w:line="240" w:lineRule="auto"/>
              <w:rPr>
                <w:rFonts w:ascii="Calibri" w:hAnsi="Calibri" w:eastAsia="Times New Roman" w:cs="Times New Roman"/>
                <w:b w:val="0"/>
                <w:bCs w:val="0"/>
                <w:caps/>
                <w:color w:val="FA7D00"/>
                <w:lang w:eastAsia="en-IN"/>
              </w:rPr>
            </w:pPr>
            <w:r>
              <w:rPr>
                <w:rFonts w:ascii="Calibri" w:hAnsi="Calibri" w:eastAsia="Times New Roman" w:cs="Times New Roman"/>
                <w:b/>
                <w:bCs/>
                <w:caps/>
                <w:color w:val="FA7D00"/>
                <w:lang w:eastAsia="en-IN"/>
              </w:rPr>
              <w:t> </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 </w:t>
            </w:r>
          </w:p>
        </w:tc>
        <w:tc>
          <w:tcPr>
            <w:tcW w:w="967"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 </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 </w:t>
            </w:r>
          </w:p>
        </w:tc>
        <w:tc>
          <w:tcPr>
            <w:tcW w:w="967"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Weights</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r>
              <w:rPr>
                <w:rFonts w:ascii="Calibri" w:hAnsi="Calibri" w:eastAsia="Times New Roman" w:cs="Times New Roman"/>
                <w:b/>
                <w:bCs/>
                <w:caps/>
                <w:color w:val="FA7D00"/>
                <w:lang w:eastAsia="en-IN"/>
              </w:rPr>
              <w:t>ADANI GREEN</w:t>
            </w: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stock 1(w1)</w:t>
            </w:r>
          </w:p>
        </w:tc>
        <w:tc>
          <w:tcPr>
            <w:tcW w:w="967" w:type="dxa"/>
            <w:noWrap/>
          </w:tcPr>
          <w:p>
            <w:pPr>
              <w:spacing w:after="0" w:line="240" w:lineRule="auto"/>
              <w:jc w:val="right"/>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0.2</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r>
              <w:rPr>
                <w:rFonts w:ascii="Calibri" w:hAnsi="Calibri" w:eastAsia="Times New Roman" w:cs="Times New Roman"/>
                <w:b/>
                <w:bCs/>
                <w:caps/>
                <w:color w:val="FA7D00"/>
                <w:lang w:eastAsia="en-IN"/>
              </w:rPr>
              <w:t>HDFC</w:t>
            </w: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stock 2 (w2</w:t>
            </w:r>
          </w:p>
        </w:tc>
        <w:tc>
          <w:tcPr>
            <w:tcW w:w="967" w:type="dxa"/>
            <w:noWrap/>
          </w:tcPr>
          <w:p>
            <w:pPr>
              <w:spacing w:after="0" w:line="240" w:lineRule="auto"/>
              <w:jc w:val="right"/>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0.2</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r>
              <w:rPr>
                <w:rFonts w:ascii="Calibri" w:hAnsi="Calibri" w:eastAsia="Times New Roman" w:cs="Times New Roman"/>
                <w:b/>
                <w:bCs/>
                <w:caps/>
                <w:color w:val="FA7D00"/>
                <w:lang w:eastAsia="en-IN"/>
              </w:rPr>
              <w:t>BPCL</w:t>
            </w: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stock 3 ( w3)</w:t>
            </w:r>
          </w:p>
        </w:tc>
        <w:tc>
          <w:tcPr>
            <w:tcW w:w="967" w:type="dxa"/>
            <w:noWrap/>
          </w:tcPr>
          <w:p>
            <w:pPr>
              <w:spacing w:after="0" w:line="240" w:lineRule="auto"/>
              <w:jc w:val="right"/>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0.2</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r>
              <w:rPr>
                <w:rFonts w:ascii="Calibri" w:hAnsi="Calibri" w:eastAsia="Times New Roman" w:cs="Times New Roman"/>
                <w:b/>
                <w:bCs/>
                <w:caps/>
                <w:color w:val="FA7D00"/>
                <w:lang w:eastAsia="en-IN"/>
              </w:rPr>
              <w:t>ITC</w:t>
            </w: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stock 4 (w4)</w:t>
            </w:r>
          </w:p>
        </w:tc>
        <w:tc>
          <w:tcPr>
            <w:tcW w:w="967" w:type="dxa"/>
            <w:noWrap/>
          </w:tcPr>
          <w:p>
            <w:pPr>
              <w:spacing w:after="0" w:line="240" w:lineRule="auto"/>
              <w:jc w:val="right"/>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0.2</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r>
              <w:rPr>
                <w:rFonts w:ascii="Calibri" w:hAnsi="Calibri" w:eastAsia="Times New Roman" w:cs="Times New Roman"/>
                <w:b/>
                <w:bCs/>
                <w:caps/>
                <w:color w:val="FA7D00"/>
                <w:lang w:eastAsia="en-IN"/>
              </w:rPr>
              <w:t>YESBANK</w:t>
            </w: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stock 5 (w5)</w:t>
            </w:r>
          </w:p>
        </w:tc>
        <w:tc>
          <w:tcPr>
            <w:tcW w:w="967" w:type="dxa"/>
            <w:noWrap/>
          </w:tcPr>
          <w:p>
            <w:pPr>
              <w:spacing w:after="0" w:line="240" w:lineRule="auto"/>
              <w:jc w:val="right"/>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0.2</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Sum of weight</w:t>
            </w:r>
          </w:p>
        </w:tc>
        <w:tc>
          <w:tcPr>
            <w:tcW w:w="967" w:type="dxa"/>
            <w:noWrap/>
          </w:tcPr>
          <w:p>
            <w:pPr>
              <w:spacing w:after="0" w:line="240" w:lineRule="auto"/>
              <w:jc w:val="right"/>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1</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 </w:t>
            </w:r>
          </w:p>
        </w:tc>
        <w:tc>
          <w:tcPr>
            <w:tcW w:w="967"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 </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 </w:t>
            </w:r>
          </w:p>
        </w:tc>
        <w:tc>
          <w:tcPr>
            <w:tcW w:w="967"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 </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Expected Return(Y)</w:t>
            </w:r>
          </w:p>
        </w:tc>
        <w:tc>
          <w:tcPr>
            <w:tcW w:w="967" w:type="dxa"/>
            <w:noWrap/>
          </w:tcPr>
          <w:p>
            <w:pPr>
              <w:spacing w:after="0" w:line="240" w:lineRule="auto"/>
              <w:jc w:val="right"/>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-9.72%</w:t>
            </w:r>
          </w:p>
        </w:tc>
      </w:tr>
      <w:tr>
        <w:tblPrEx>
          <w:tblCellMar>
            <w:top w:w="0" w:type="dxa"/>
            <w:left w:w="108" w:type="dxa"/>
            <w:bottom w:w="0" w:type="dxa"/>
            <w:right w:w="108" w:type="dxa"/>
          </w:tblCellMar>
        </w:tblPrEx>
        <w:trPr>
          <w:trHeight w:val="300" w:hRule="atLeast"/>
        </w:trPr>
        <w:tc>
          <w:tcPr>
            <w:tcW w:w="1400" w:type="dxa"/>
            <w:tcBorders>
              <w:right w:val="single" w:color="7E7E7E" w:themeColor="text1" w:themeTint="80" w:sz="4" w:space="0"/>
              <w:insideV w:val="single" w:sz="4" w:space="0"/>
            </w:tcBorders>
            <w:noWrap/>
          </w:tcPr>
          <w:p>
            <w:pPr>
              <w:spacing w:after="0" w:line="240" w:lineRule="auto"/>
              <w:rPr>
                <w:rFonts w:ascii="Calibri" w:hAnsi="Calibri" w:eastAsia="Times New Roman" w:cs="Times New Roman"/>
                <w:b w:val="0"/>
                <w:bCs w:val="0"/>
                <w:caps/>
                <w:color w:val="FA7D00"/>
                <w:lang w:eastAsia="en-IN"/>
              </w:rPr>
            </w:pPr>
          </w:p>
        </w:tc>
        <w:tc>
          <w:tcPr>
            <w:tcW w:w="2720" w:type="dxa"/>
            <w:noWrap/>
          </w:tcPr>
          <w:p>
            <w:pPr>
              <w:spacing w:after="0" w:line="240" w:lineRule="auto"/>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Standard deviation</w:t>
            </w:r>
          </w:p>
        </w:tc>
        <w:tc>
          <w:tcPr>
            <w:tcW w:w="967" w:type="dxa"/>
            <w:noWrap/>
          </w:tcPr>
          <w:p>
            <w:pPr>
              <w:spacing w:after="0" w:line="240" w:lineRule="auto"/>
              <w:jc w:val="right"/>
              <w:rPr>
                <w:rFonts w:ascii="Calibri" w:hAnsi="Calibri" w:eastAsia="Times New Roman" w:cs="Times New Roman"/>
                <w:b/>
                <w:bCs/>
                <w:color w:val="FA7D00"/>
                <w:lang w:eastAsia="en-IN"/>
              </w:rPr>
            </w:pPr>
            <w:r>
              <w:rPr>
                <w:rFonts w:ascii="Calibri" w:hAnsi="Calibri" w:eastAsia="Times New Roman" w:cs="Times New Roman"/>
                <w:b/>
                <w:bCs/>
                <w:color w:val="FA7D00"/>
                <w:lang w:eastAsia="en-IN"/>
              </w:rPr>
              <w:t>1.77%</w:t>
            </w:r>
          </w:p>
        </w:tc>
      </w:tr>
    </w:tbl>
    <w:p>
      <w:pPr>
        <w:pStyle w:val="19"/>
        <w:shd w:val="clear" w:color="auto" w:fill="FFFFFF"/>
        <w:spacing w:before="240" w:beforeAutospacing="0" w:after="0" w:afterAutospacing="0"/>
        <w:rPr>
          <w:sz w:val="28"/>
          <w:szCs w:val="28"/>
        </w:rPr>
      </w:pPr>
    </w:p>
    <w:p>
      <w:pPr>
        <w:jc w:val="both"/>
        <w:rPr>
          <w:sz w:val="28"/>
          <w:szCs w:val="28"/>
        </w:rPr>
      </w:pPr>
      <w:r>
        <w:rPr>
          <w:sz w:val="28"/>
          <w:szCs w:val="28"/>
        </w:rPr>
        <w:t>From the above tables we concluded that when we have given equal weight of each stock then our portfolio reture  is coming negative 9.72%(Year) And standard deviation 1.77%, so now we are using the “The Markowitz Portfolio Optimization model” where we  maximized Risk-return ratio (Rs-Rf)/risk By changing different weight(Wi) of particular stock .so we will get maximum return corresponding to risk, that is our optimal portfolio</w:t>
      </w:r>
    </w:p>
    <w:p>
      <w:pPr>
        <w:jc w:val="both"/>
        <w:rPr>
          <w:sz w:val="28"/>
          <w:szCs w:val="28"/>
        </w:rPr>
      </w:pPr>
      <w:r>
        <w:rPr>
          <w:b/>
          <w:sz w:val="36"/>
          <w:szCs w:val="36"/>
        </w:rPr>
        <w:t>NOTE</w:t>
      </w:r>
      <w:r>
        <w:rPr>
          <w:sz w:val="28"/>
          <w:szCs w:val="28"/>
        </w:rPr>
        <w:t xml:space="preserve"> -&gt; maximum value of  the risk-return ratio calculated  by changing weight of stock with  the help  of excel  solver tool for getting  optimal portfolio</w:t>
      </w:r>
    </w:p>
    <w:tbl>
      <w:tblPr>
        <w:tblStyle w:val="4"/>
        <w:tblW w:w="9209" w:type="dxa"/>
        <w:tblInd w:w="0" w:type="dxa"/>
        <w:tblLayout w:type="autofit"/>
        <w:tblCellMar>
          <w:top w:w="0" w:type="dxa"/>
          <w:left w:w="0" w:type="dxa"/>
          <w:bottom w:w="0" w:type="dxa"/>
          <w:right w:w="0" w:type="dxa"/>
        </w:tblCellMar>
      </w:tblPr>
      <w:tblGrid>
        <w:gridCol w:w="2491"/>
        <w:gridCol w:w="1040"/>
        <w:gridCol w:w="2613"/>
        <w:gridCol w:w="1040"/>
        <w:gridCol w:w="2025"/>
      </w:tblGrid>
      <w:tr>
        <w:tblPrEx>
          <w:tblCellMar>
            <w:top w:w="0" w:type="dxa"/>
            <w:left w:w="0" w:type="dxa"/>
            <w:bottom w:w="0" w:type="dxa"/>
            <w:right w:w="0" w:type="dxa"/>
          </w:tblCellMar>
        </w:tblPrEx>
        <w:trPr>
          <w:trHeight w:val="280" w:hRule="atLeast"/>
        </w:trPr>
        <w:tc>
          <w:tcPr>
            <w:tcW w:w="2491" w:type="dxa"/>
            <w:tcBorders>
              <w:top w:val="single" w:color="7F7F7F" w:sz="4" w:space="0"/>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Optimal Risky Portfolio</w:t>
            </w:r>
          </w:p>
        </w:tc>
        <w:tc>
          <w:tcPr>
            <w:tcW w:w="1040" w:type="dxa"/>
            <w:tcBorders>
              <w:top w:val="single" w:color="7F7F7F" w:sz="4" w:space="0"/>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613" w:type="dxa"/>
            <w:tcBorders>
              <w:top w:val="single" w:color="7F7F7F" w:sz="4" w:space="0"/>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1040" w:type="dxa"/>
            <w:tcBorders>
              <w:top w:val="single" w:color="7F7F7F" w:sz="4" w:space="0"/>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single" w:color="7F7F7F" w:sz="4" w:space="0"/>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Weight</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stock 1 (Adani green ) w1</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0.129309</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stock 2(HDFC) w2</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0</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stock 3(BPCL) w3</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0.870691</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stock 4(ITC) w4</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0</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stock 5(YESBANK) w5</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0</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xml:space="preserve">   Risk-free return</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6.20%</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Sum of weight</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1</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Expected Return(Y)</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58.17%</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std deviation</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2.18%</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Risk-return Ratio</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23.87812</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80"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If we take risk aversion 10</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r>
      <w:tr>
        <w:tblPrEx>
          <w:tblCellMar>
            <w:top w:w="0" w:type="dxa"/>
            <w:left w:w="0" w:type="dxa"/>
            <w:bottom w:w="0" w:type="dxa"/>
            <w:right w:w="0" w:type="dxa"/>
          </w:tblCellMar>
        </w:tblPrEx>
        <w:trPr>
          <w:trHeight w:val="258" w:hRule="atLeast"/>
        </w:trPr>
        <w:tc>
          <w:tcPr>
            <w:tcW w:w="0" w:type="auto"/>
            <w:tcBorders>
              <w:top w:val="nil"/>
              <w:left w:val="single" w:color="7F7F7F" w:sz="4" w:space="0"/>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y*</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109.717</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Investor risk aversion</w:t>
            </w:r>
          </w:p>
        </w:tc>
        <w:tc>
          <w:tcPr>
            <w:tcW w:w="0" w:type="auto"/>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rPr>
                <w:rFonts w:ascii="Calibri" w:hAnsi="Calibri"/>
                <w:b/>
                <w:bCs/>
                <w:color w:val="FA7D00"/>
              </w:rPr>
            </w:pPr>
            <w:r>
              <w:rPr>
                <w:rFonts w:ascii="Calibri" w:hAnsi="Calibri"/>
                <w:b/>
                <w:bCs/>
                <w:color w:val="FA7D00"/>
              </w:rPr>
              <w:t> </w:t>
            </w:r>
          </w:p>
        </w:tc>
        <w:tc>
          <w:tcPr>
            <w:tcW w:w="2025" w:type="dxa"/>
            <w:tcBorders>
              <w:top w:val="nil"/>
              <w:left w:val="nil"/>
              <w:bottom w:val="single" w:color="7F7F7F" w:sz="4" w:space="0"/>
              <w:right w:val="single" w:color="7F7F7F" w:sz="4" w:space="0"/>
            </w:tcBorders>
            <w:shd w:val="clear" w:color="000000" w:fill="F2F2F2"/>
            <w:noWrap/>
            <w:tcMar>
              <w:top w:w="15" w:type="dxa"/>
              <w:left w:w="15" w:type="dxa"/>
              <w:bottom w:w="0" w:type="dxa"/>
              <w:right w:w="15" w:type="dxa"/>
            </w:tcMar>
            <w:vAlign w:val="bottom"/>
          </w:tcPr>
          <w:p>
            <w:pPr>
              <w:jc w:val="right"/>
              <w:rPr>
                <w:rFonts w:ascii="Calibri" w:hAnsi="Calibri"/>
                <w:b/>
                <w:bCs/>
                <w:color w:val="FA7D00"/>
              </w:rPr>
            </w:pPr>
            <w:r>
              <w:rPr>
                <w:rFonts w:ascii="Calibri" w:hAnsi="Calibri"/>
                <w:b/>
                <w:bCs/>
                <w:color w:val="FA7D00"/>
              </w:rPr>
              <w:t>10.00</w:t>
            </w:r>
          </w:p>
        </w:tc>
      </w:tr>
    </w:tbl>
    <w:p>
      <w:pPr>
        <w:rPr>
          <w:sz w:val="28"/>
          <w:szCs w:val="28"/>
        </w:rPr>
      </w:pPr>
      <w:r>
        <w:rPr>
          <w:sz w:val="28"/>
          <w:szCs w:val="28"/>
        </w:rPr>
        <w:t xml:space="preserve"> </w:t>
      </w:r>
    </w:p>
    <w:p>
      <w:pPr>
        <w:rPr>
          <w:sz w:val="28"/>
          <w:szCs w:val="28"/>
        </w:rPr>
      </w:pPr>
      <w:r>
        <w:rPr>
          <w:sz w:val="28"/>
          <w:szCs w:val="28"/>
        </w:rPr>
        <w:t>Where y* is  the proportion of the portfolio invested in the risky portfolio If we take BPCL and Adani green accounding  to giving weight which show above table .we will get maximum Return with minimum Risk.</w:t>
      </w:r>
    </w:p>
    <w:sectPr>
      <w:pgSz w:w="11906" w:h="16838"/>
      <w:pgMar w:top="1440" w:right="1440" w:bottom="1440" w:left="1440" w:header="708" w:footer="708" w:gutter="0"/>
      <w:pgBorders w:offsetFrom="page">
        <w:top w:val="tornPaperBlack" w:color="auto" w:sz="31" w:space="24"/>
        <w:left w:val="tornPaperBlack" w:color="auto" w:sz="31" w:space="24"/>
        <w:bottom w:val="tornPaperBlack" w:color="auto" w:sz="31" w:space="24"/>
        <w:right w:val="tornPaperBlack" w:color="auto" w:sz="31"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Californian FB">
    <w:panose1 w:val="0207040306080B030204"/>
    <w:charset w:val="00"/>
    <w:family w:val="roman"/>
    <w:pitch w:val="default"/>
    <w:sig w:usb0="00000003" w:usb1="00000000" w:usb2="00000000" w:usb3="00000000" w:csb0="20000001"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E3"/>
    <w:rsid w:val="00036A19"/>
    <w:rsid w:val="0004375E"/>
    <w:rsid w:val="00054744"/>
    <w:rsid w:val="00060C26"/>
    <w:rsid w:val="00061800"/>
    <w:rsid w:val="001360E3"/>
    <w:rsid w:val="0013743E"/>
    <w:rsid w:val="00151341"/>
    <w:rsid w:val="00196CFD"/>
    <w:rsid w:val="001B5A8A"/>
    <w:rsid w:val="0022088F"/>
    <w:rsid w:val="00246AF0"/>
    <w:rsid w:val="002507D4"/>
    <w:rsid w:val="00260B01"/>
    <w:rsid w:val="00264CF4"/>
    <w:rsid w:val="002F03B7"/>
    <w:rsid w:val="003025E3"/>
    <w:rsid w:val="003114CF"/>
    <w:rsid w:val="003B1056"/>
    <w:rsid w:val="003D2A86"/>
    <w:rsid w:val="004140AF"/>
    <w:rsid w:val="00420BC1"/>
    <w:rsid w:val="00471A95"/>
    <w:rsid w:val="00472EA5"/>
    <w:rsid w:val="004A12E0"/>
    <w:rsid w:val="004B6A63"/>
    <w:rsid w:val="004C781C"/>
    <w:rsid w:val="004C7985"/>
    <w:rsid w:val="004D70B3"/>
    <w:rsid w:val="00517733"/>
    <w:rsid w:val="00527C1D"/>
    <w:rsid w:val="005A540E"/>
    <w:rsid w:val="005F7316"/>
    <w:rsid w:val="00641CAA"/>
    <w:rsid w:val="006476C1"/>
    <w:rsid w:val="006C15E0"/>
    <w:rsid w:val="0072012A"/>
    <w:rsid w:val="0073696A"/>
    <w:rsid w:val="007422A9"/>
    <w:rsid w:val="007D339F"/>
    <w:rsid w:val="00846F45"/>
    <w:rsid w:val="00850E85"/>
    <w:rsid w:val="008D5934"/>
    <w:rsid w:val="008E6851"/>
    <w:rsid w:val="00983EC7"/>
    <w:rsid w:val="00AF73A5"/>
    <w:rsid w:val="00B94AF2"/>
    <w:rsid w:val="00C230B6"/>
    <w:rsid w:val="00C24F4C"/>
    <w:rsid w:val="00D35931"/>
    <w:rsid w:val="00D57ED7"/>
    <w:rsid w:val="00D91306"/>
    <w:rsid w:val="00D957E3"/>
    <w:rsid w:val="00DB49B9"/>
    <w:rsid w:val="00DB4C6C"/>
    <w:rsid w:val="00E878C5"/>
    <w:rsid w:val="00EE7C6B"/>
    <w:rsid w:val="00F11CAD"/>
    <w:rsid w:val="00F26CF9"/>
    <w:rsid w:val="00F46131"/>
    <w:rsid w:val="00F46B96"/>
    <w:rsid w:val="00F5644F"/>
    <w:rsid w:val="00F767E3"/>
    <w:rsid w:val="00F976C7"/>
    <w:rsid w:val="00FA6307"/>
    <w:rsid w:val="00FD1760"/>
    <w:rsid w:val="00FE0B79"/>
    <w:rsid w:val="00FE6113"/>
    <w:rsid w:val="170B2EDB"/>
    <w:rsid w:val="242A74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table" w:styleId="6">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Grid Table 5 Dark1"/>
    <w:basedOn w:val="4"/>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8">
    <w:name w:val="Grid Table 5 Dark - Accent 11"/>
    <w:basedOn w:val="4"/>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9">
    <w:name w:val="Grid Table 5 Dark - Accent 21"/>
    <w:basedOn w:val="4"/>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10">
    <w:name w:val="Grid Table 5 Dark - Accent 31"/>
    <w:basedOn w:val="4"/>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11">
    <w:name w:val="Grid Table 5 Dark - Accent 51"/>
    <w:basedOn w:val="4"/>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12">
    <w:name w:val="Grid Table 5 Dark - Accent 41"/>
    <w:basedOn w:val="4"/>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13">
    <w:name w:val="Grid Table 5 Dark - Accent 61"/>
    <w:basedOn w:val="4"/>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4">
    <w:name w:val="Plain Table 31"/>
    <w:basedOn w:val="4"/>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5">
    <w:name w:val="Plain Table 41"/>
    <w:basedOn w:val="4"/>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6">
    <w:name w:val="Plain Table 51"/>
    <w:basedOn w:val="4"/>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7">
    <w:name w:val="Plain Table 1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8">
    <w:name w:val="Heading 1 Char"/>
    <w:basedOn w:val="3"/>
    <w:link w:val="2"/>
    <w:qFormat/>
    <w:uiPriority w:val="9"/>
    <w:rPr>
      <w:rFonts w:ascii="Times New Roman" w:hAnsi="Times New Roman" w:eastAsia="Times New Roman" w:cs="Times New Roman"/>
      <w:b/>
      <w:bCs/>
      <w:kern w:val="36"/>
      <w:sz w:val="48"/>
      <w:szCs w:val="48"/>
      <w:lang w:eastAsia="en-IN"/>
    </w:rPr>
  </w:style>
  <w:style w:type="paragraph" w:customStyle="1" w:styleId="19">
    <w:name w:val="article_css"/>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20">
    <w:name w:val="No Spacing"/>
    <w:link w:val="21"/>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3"/>
    <w:link w:val="20"/>
    <w:qFormat/>
    <w:uiPriority w:val="1"/>
    <w:rPr>
      <w:rFonts w:eastAsiaTheme="minorEastAsia"/>
      <w:lang w:val="en-US"/>
    </w:rPr>
  </w:style>
  <w:style w:type="paragraph" w:styleId="22">
    <w:name w:val="List Paragraph"/>
    <w:basedOn w:val="1"/>
    <w:qFormat/>
    <w:uiPriority w:val="34"/>
    <w:pPr>
      <w:ind w:left="720"/>
      <w:contextualSpacing/>
    </w:pPr>
  </w:style>
  <w:style w:type="table" w:customStyle="1" w:styleId="23">
    <w:name w:val="Table Grid Light1"/>
    <w:basedOn w:val="4"/>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4">
    <w:name w:val="Plain Table 21"/>
    <w:basedOn w:val="4"/>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5">
    <w:name w:val="Grid Table 2 - Accent 11"/>
    <w:basedOn w:val="4"/>
    <w:uiPriority w:val="47"/>
    <w:pPr>
      <w:spacing w:after="0" w:line="240" w:lineRule="auto"/>
    </w:pPr>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cPr>
        <w:tcBorders>
          <w:top w:val="nil"/>
          <w:bottom w:val="single" w:color="9CC2E5" w:themeColor="accent1" w:themeTint="99" w:sz="12" w:space="0"/>
          <w:insideH w:val="nil"/>
          <w:insideV w:val="nil"/>
        </w:tcBorders>
        <w:shd w:val="clear" w:color="auto" w:fill="FFFFFF" w:themeFill="background1"/>
      </w:tcPr>
    </w:tblStylePr>
    <w:tblStylePr w:type="lastRow">
      <w:rPr>
        <w:b/>
        <w:bCs/>
      </w:r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6">
    <w:name w:val="Grid Table 2 - Accent 41"/>
    <w:basedOn w:val="4"/>
    <w:uiPriority w:val="47"/>
    <w:pPr>
      <w:spacing w:after="0" w:line="240" w:lineRule="auto"/>
    </w:p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27">
    <w:name w:val="Grid Table 1 Light - Accent 41"/>
    <w:basedOn w:val="4"/>
    <w:uiPriority w:val="46"/>
    <w:pPr>
      <w:spacing w:after="0" w:line="240" w:lineRule="auto"/>
    </w:p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28">
    <w:name w:val="Grid Table 4 - Accent 21"/>
    <w:basedOn w:val="4"/>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chart" Target="charts/chart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no\Desktop\update.stock%20fil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The Security Market Line (SML)</a:t>
            </a:r>
            <a:endParaRPr lang="en-IN"/>
          </a:p>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IN"/>
          </a:p>
        </c:rich>
      </c:tx>
      <c:layout>
        <c:manualLayout>
          <c:xMode val="edge"/>
          <c:yMode val="edge"/>
          <c:x val="0.104060904206862"/>
          <c:y val="0.0399306922572178"/>
        </c:manualLayout>
      </c:layout>
      <c:overlay val="0"/>
      <c:spPr>
        <a:noFill/>
        <a:ln>
          <a:noFill/>
        </a:ln>
        <a:effectLst/>
      </c:spPr>
    </c:title>
    <c:autoTitleDeleted val="0"/>
    <c:plotArea>
      <c:layout>
        <c:manualLayout>
          <c:layoutTarget val="inner"/>
          <c:xMode val="edge"/>
          <c:yMode val="edge"/>
          <c:x val="0.077529830707789"/>
          <c:y val="0.0292778234810201"/>
          <c:w val="0.826451115385518"/>
          <c:h val="0.640277048702246"/>
        </c:manualLayout>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3"/>
              <c:layout>
                <c:manualLayout>
                  <c:x val="-0.0260464085134582"/>
                  <c:y val="0.0393864829396325"/>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11688019387561"/>
                  <c:y val="-0.202518761647331"/>
                </c:manualLayout>
              </c:layout>
              <c:dLblPos val="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7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trendline>
            <c:spPr>
              <a:ln w="19050" cap="rnd">
                <a:solidFill>
                  <a:schemeClr val="accent1"/>
                </a:solidFill>
                <a:prstDash val="sysDash"/>
              </a:ln>
              <a:effectLst/>
            </c:spPr>
            <c:trendlineType val="linear"/>
            <c:dispRSqr val="0"/>
            <c:dispEq val="0"/>
          </c:trendline>
          <c:xVal>
            <c:numRef>
              <c:f>'compare the stock'!$Q$19:$Q$24</c:f>
              <c:numCache>
                <c:formatCode>General</c:formatCode>
                <c:ptCount val="6"/>
                <c:pt idx="0">
                  <c:v>0</c:v>
                </c:pt>
                <c:pt idx="1">
                  <c:v>1</c:v>
                </c:pt>
                <c:pt idx="2" c:formatCode="0.000">
                  <c:v>1.38692040169907</c:v>
                </c:pt>
                <c:pt idx="3" c:formatCode="0.000">
                  <c:v>1.16272528047025</c:v>
                </c:pt>
                <c:pt idx="4" c:formatCode="0.000">
                  <c:v>1.35780113740969</c:v>
                </c:pt>
                <c:pt idx="5" c:formatCode="0.000">
                  <c:v>0.767337230162394</c:v>
                </c:pt>
              </c:numCache>
            </c:numRef>
          </c:xVal>
          <c:yVal>
            <c:numRef>
              <c:f>'compare the stock'!$R$19:$R$24</c:f>
              <c:numCache>
                <c:formatCode>0.0%</c:formatCode>
                <c:ptCount val="6"/>
                <c:pt idx="0">
                  <c:v>0.062</c:v>
                </c:pt>
                <c:pt idx="1">
                  <c:v>0.093</c:v>
                </c:pt>
                <c:pt idx="2" c:formatCode="0.00%">
                  <c:v>0.120212436005706</c:v>
                </c:pt>
                <c:pt idx="3" c:formatCode="0.00%">
                  <c:v>0.110802419301549</c:v>
                </c:pt>
                <c:pt idx="4" c:formatCode="0.00%">
                  <c:v>0.118990229376615</c:v>
                </c:pt>
                <c:pt idx="5" c:formatCode="0.00%">
                  <c:v>0.0942070173247883</c:v>
                </c:pt>
              </c:numCache>
            </c:numRef>
          </c:yVal>
          <c:smooth val="0"/>
        </c:ser>
        <c:ser>
          <c:idx val="1"/>
          <c:order val="1"/>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dLbl>
              <c:idx val="2"/>
              <c:layout>
                <c:manualLayout>
                  <c:x val="-0.215055369352928"/>
                  <c:y val="-0.267823145241173"/>
                </c:manualLayout>
              </c:layout>
              <c:tx>
                <c:rich>
                  <a:bodyPr rot="0" spcFirstLastPara="1" vertOverflow="ellipsis" vert="horz" wrap="square" lIns="38100" tIns="19050" rIns="38100" bIns="19050" anchor="ctr" anchorCtr="1"/>
                  <a:lstStyle/>
                  <a:p>
                    <a:pPr>
                      <a:defRPr lang="en-US" sz="900" b="0" i="0" u="none" strike="noStrike" kern="1200" baseline="0">
                        <a:solidFill>
                          <a:schemeClr val="lt1">
                            <a:lumMod val="75000"/>
                          </a:schemeClr>
                        </a:solidFill>
                        <a:latin typeface="+mn-lt"/>
                        <a:ea typeface="+mn-ea"/>
                        <a:cs typeface="+mn-cs"/>
                      </a:defRPr>
                    </a:pPr>
                    <a:r>
                      <a:rPr lang="en-US"/>
                      <a:t>Adani</a:t>
                    </a:r>
                    <a:r>
                      <a:rPr lang="en-US" baseline="0"/>
                      <a:t> green 29.2%</a:t>
                    </a:r>
                    <a:endParaRPr lang="en-US"/>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156546878571267"/>
                  <c:y val="0.28255586521834"/>
                </c:manualLayout>
              </c:layout>
              <c:tx>
                <c:rich>
                  <a:bodyPr rot="0" spcFirstLastPara="1" vertOverflow="ellipsis" vert="horz" wrap="square" lIns="38100" tIns="19050" rIns="38100" bIns="19050" anchor="ctr" anchorCtr="1"/>
                  <a:lstStyle/>
                  <a:p>
                    <a:pPr>
                      <a:defRPr lang="en-US" sz="900" b="0" i="0" u="none" strike="noStrike" kern="1200" baseline="0">
                        <a:solidFill>
                          <a:schemeClr val="lt1">
                            <a:lumMod val="75000"/>
                          </a:schemeClr>
                        </a:solidFill>
                        <a:latin typeface="+mn-lt"/>
                        <a:ea typeface="+mn-ea"/>
                        <a:cs typeface="+mn-cs"/>
                      </a:defRPr>
                    </a:pPr>
                    <a:r>
                      <a:rPr lang="en-US"/>
                      <a:t>hdfc 9.8%</a:t>
                    </a:r>
                    <a:endParaRPr lang="en-US"/>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4"/>
              <c:layout/>
              <c:tx>
                <c:rich>
                  <a:bodyPr rot="0" spcFirstLastPara="1" vertOverflow="ellipsis" vert="horz" wrap="square" lIns="38100" tIns="19050" rIns="38100" bIns="19050" anchor="ctr" anchorCtr="1"/>
                  <a:lstStyle/>
                  <a:p>
                    <a:pPr>
                      <a:defRPr lang="en-US" sz="900" b="0" i="0" u="none" strike="noStrike" kern="1200" baseline="0">
                        <a:solidFill>
                          <a:schemeClr val="lt1">
                            <a:lumMod val="75000"/>
                          </a:schemeClr>
                        </a:solidFill>
                        <a:latin typeface="+mn-lt"/>
                        <a:ea typeface="+mn-ea"/>
                        <a:cs typeface="+mn-cs"/>
                      </a:defRPr>
                    </a:pPr>
                    <a:r>
                      <a:rPr lang="en-US"/>
                      <a:t>BPCL</a:t>
                    </a:r>
                    <a:r>
                      <a:rPr lang="en-US" baseline="0"/>
                      <a:t> 53.1%</a:t>
                    </a:r>
                    <a:endParaRPr lang="en-US"/>
                  </a:p>
                </c:rich>
              </c:tx>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7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xVal>
            <c:numRef>
              <c:f>'compare the stock'!$Q$19:$Q$24</c:f>
              <c:numCache>
                <c:formatCode>General</c:formatCode>
                <c:ptCount val="6"/>
                <c:pt idx="0">
                  <c:v>0</c:v>
                </c:pt>
                <c:pt idx="1">
                  <c:v>1</c:v>
                </c:pt>
                <c:pt idx="2" c:formatCode="0.000">
                  <c:v>1.38692040169907</c:v>
                </c:pt>
                <c:pt idx="3" c:formatCode="0.000">
                  <c:v>1.16272528047025</c:v>
                </c:pt>
                <c:pt idx="4" c:formatCode="0.000">
                  <c:v>1.35780113740969</c:v>
                </c:pt>
                <c:pt idx="5" c:formatCode="0.000">
                  <c:v>0.767337230162394</c:v>
                </c:pt>
              </c:numCache>
            </c:numRef>
          </c:xVal>
          <c:yVal>
            <c:numRef>
              <c:f>'compare the stock'!$S$19:$S$24</c:f>
              <c:numCache>
                <c:formatCode>General</c:formatCode>
                <c:ptCount val="6"/>
                <c:pt idx="1" c:formatCode="0.0%">
                  <c:v>0.103972441918363</c:v>
                </c:pt>
                <c:pt idx="2" c:formatCode="0.0%">
                  <c:v>0.00174616386897512</c:v>
                </c:pt>
                <c:pt idx="3" c:formatCode="0.0%">
                  <c:v>0.128505267589641</c:v>
                </c:pt>
                <c:pt idx="4" c:formatCode="0.0%">
                  <c:v>0.602702946569988</c:v>
                </c:pt>
                <c:pt idx="5" c:formatCode="0.0%">
                  <c:v>-0.0535842229757123</c:v>
                </c:pt>
              </c:numCache>
            </c:numRef>
          </c:yVal>
          <c:smooth val="0"/>
        </c:ser>
        <c:dLbls>
          <c:showLegendKey val="0"/>
          <c:showVal val="1"/>
          <c:showCatName val="0"/>
          <c:showSerName val="0"/>
          <c:showPercent val="0"/>
          <c:showBubbleSize val="0"/>
        </c:dLbls>
        <c:axId val="478805368"/>
        <c:axId val="478800664"/>
      </c:scatterChart>
      <c:valAx>
        <c:axId val="4788053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lang="en-US" sz="900" b="1" i="0" u="none" strike="noStrike" kern="1200" cap="all" baseline="0">
                    <a:solidFill>
                      <a:schemeClr val="lt1">
                        <a:lumMod val="75000"/>
                      </a:schemeClr>
                    </a:solidFill>
                    <a:latin typeface="+mn-lt"/>
                    <a:ea typeface="+mn-ea"/>
                    <a:cs typeface="+mn-cs"/>
                  </a:defRPr>
                </a:pPr>
                <a:r>
                  <a:rPr lang="en-IN"/>
                  <a:t>BETA OF STOCK</a:t>
                </a:r>
                <a:endParaRPr lang="en-IN"/>
              </a:p>
            </c:rich>
          </c:tx>
          <c:layout/>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478800664"/>
        <c:crossesAt val="0"/>
        <c:crossBetween val="midCat"/>
      </c:valAx>
      <c:valAx>
        <c:axId val="478800664"/>
        <c:scaling>
          <c:orientation val="minMax"/>
          <c:max val="0.8"/>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lang="en-US" sz="900" b="1" i="0" u="none" strike="noStrike" kern="1200" cap="all" baseline="0">
                    <a:solidFill>
                      <a:schemeClr val="lt1">
                        <a:lumMod val="75000"/>
                      </a:schemeClr>
                    </a:solidFill>
                    <a:latin typeface="+mn-lt"/>
                    <a:ea typeface="+mn-ea"/>
                    <a:cs typeface="+mn-cs"/>
                  </a:defRPr>
                </a:pPr>
                <a:r>
                  <a:rPr lang="en-US"/>
                  <a:t>ACTUAL RETURN</a:t>
                </a:r>
                <a:endParaRPr lang="en-US"/>
              </a:p>
            </c:rich>
          </c:tx>
          <c:layout/>
          <c:overlay val="0"/>
          <c:spPr>
            <a:noFill/>
            <a:ln>
              <a:noFill/>
            </a:ln>
            <a:effectLst/>
          </c:spPr>
        </c:title>
        <c:numFmt formatCode="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crossAx val="478805368"/>
        <c:crosses val="autoZero"/>
        <c:crossBetween val="midCat"/>
      </c:valAx>
      <c:spPr>
        <a:noFill/>
        <a:ln>
          <a:noFill/>
        </a:ln>
        <a:effectLst/>
      </c:spPr>
    </c:plotArea>
    <c:legend>
      <c:legendPos val="b"/>
      <c:layout/>
      <c:overlay val="1"/>
      <c:spPr>
        <a:noFill/>
        <a:ln>
          <a:noFill/>
        </a:ln>
        <a:effectLst/>
      </c:spPr>
      <c:txPr>
        <a:bodyPr rot="0" spcFirstLastPara="1"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5FC447-14DA-4CAF-86A5-10B51394E369}">
  <ds:schemaRefs/>
</ds:datastoreItem>
</file>

<file path=docProps/app.xml><?xml version="1.0" encoding="utf-8"?>
<Properties xmlns="http://schemas.openxmlformats.org/officeDocument/2006/extended-properties" xmlns:vt="http://schemas.openxmlformats.org/officeDocument/2006/docPropsVTypes">
  <Template>Normal</Template>
  <Pages>5</Pages>
  <Words>697</Words>
  <Characters>3978</Characters>
  <Lines>33</Lines>
  <Paragraphs>9</Paragraphs>
  <TotalTime>1820</TotalTime>
  <ScaleCrop>false</ScaleCrop>
  <LinksUpToDate>false</LinksUpToDate>
  <CharactersWithSpaces>4666</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2019-11-13T16:24:00Z</dcterms:created>
  <dc:creator>no</dc:creator>
  <cp:lastModifiedBy>Abhishek Singh</cp:lastModifiedBy>
  <dcterms:modified xsi:type="dcterms:W3CDTF">2021-02-27T08:33:35Z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