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8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02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Implementation of Queue using Array for real-world application.</w:t>
      </w:r>
    </w:p>
    <w:p w:rsidR="00000000" w:rsidDel="00000000" w:rsidP="00000000" w:rsidRDefault="00000000" w:rsidRPr="00000000" w14:paraId="0000000B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100;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Q[100],Front=-1,Rear=-1,x,n=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Enqueue();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Dequeue();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op;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while(op!=5){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printf("\nThe operation can be performed are:");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printf("\n 1)Enqueue\n 2)Dequeue\n 3)Display\n");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printf("Enter Your choice :");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scanf("%d",&amp;op);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switch(op){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case 1 : Enqueue();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break;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case 2 : Dequeue();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break;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case 3 : Display();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break;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default : printf("Exit The Program");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Enqueue(){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 (Rear &gt;= n - 1){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 The Queue is Overflow ! \n");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 Enter the element to insert: ");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&amp;x);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Rear++;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Q[Rear] = x;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Front++;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printf("The %d is Inserted Into The Queue\n",x);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Dequeue(){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if(Front == -1){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printf("The Queue Is Underflow !\n");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printf("The Deleted Element Is %d",Q[Front]);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Front++;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Rear--;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Display(){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if(Rear == -1){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printf("The Queue Is Empty\n");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printf("The Elements In the Queue Are:\n");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for(int i = 0; i&lt;= Front ; i++){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printf("%d\n",Q[i]);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3695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Abhinav.S.Dasari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spacing w:after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spacing w:after="0" w:line="240" w:lineRule="auto"/>
      <w:ind w:right="-166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9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0"/>
      <w:gridCol w:w="9719"/>
      <w:tblGridChange w:id="0">
        <w:tblGrid>
          <w:gridCol w:w="1730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61">
          <w:pPr>
            <w:keepNext w:val="1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</w:rPr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6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63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64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583055" cy="25400"/>
                    <wp:effectExtent b="0" l="0" r="0" t="0"/>
                    <wp:wrapNone/>
                    <wp:docPr id="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560823" y="3780000"/>
                              <a:ext cx="15703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583055" cy="25400"/>
                    <wp:effectExtent b="0" l="0" r="0" t="0"/>
                    <wp:wrapNone/>
                    <wp:docPr id="4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83055" cy="25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65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66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67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24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3zIBAptEaGq5TH38hlE/KRU+Pw==">CgMxLjA4AHIhMVRSUDZXcm5NbDBaSVBwUFA4ZGNQX1o5OF9Ha1RkTEg1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