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of Conduct</w:t>
      </w:r>
    </w:p>
    <w:p>
      <w:r>
        <w:t>ACME Cloud Inc. | Synthetic SOC 2 readiness test artifact | Confidential</w:t>
      </w:r>
    </w:p>
    <w:p>
      <w:pPr>
        <w:pStyle w:val="Heading1"/>
      </w:pPr>
      <w:r>
        <w:t>Standards</w:t>
      </w:r>
    </w:p>
    <w:p>
      <w:r>
        <w:t>Personnel must protect confidential information, avoid conflicts of interest, comply with security requirements, and report suspected misconduct through approved channels.</w:t>
      </w:r>
    </w:p>
    <w:p>
      <w:pPr>
        <w:pStyle w:val="Heading1"/>
      </w:pPr>
      <w:r>
        <w:t>Acknowledgement</w:t>
      </w:r>
    </w:p>
    <w:p>
      <w:r>
        <w:t>Employees acknowledge the Code during onboarding and annually thereafter.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