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Purpose</w:t>
      </w:r>
    </w:p>
    <w:p>
      <w:r>
        <w:t>Establish management-approved security requirements for systems processing customer information.</w:t>
      </w:r>
    </w:p>
    <w:p>
      <w:pPr>
        <w:pStyle w:val="Heading1"/>
      </w:pPr>
      <w:r>
        <w:t>Governance</w:t>
      </w:r>
    </w:p>
    <w:p>
      <w:r>
        <w:t>The CISO owns the information security program. Control owners review applicable procedures at least annually. Exceptions require documented business justification, risk acceptance, and approval.</w:t>
      </w:r>
    </w:p>
    <w:p>
      <w:pPr>
        <w:pStyle w:val="Heading1"/>
      </w:pPr>
      <w:r>
        <w:t>Logical Access</w:t>
      </w:r>
    </w:p>
    <w:p>
      <w:r>
        <w:t>Access shall be authorized, least-privilege, periodically reviewed, and revoked when no longer required. MFA is required for interactive production administration.</w:t>
      </w:r>
    </w:p>
    <w:p>
      <w:pPr>
        <w:pStyle w:val="Heading1"/>
      </w:pPr>
      <w:r>
        <w:t>Operations</w:t>
      </w:r>
    </w:p>
    <w:p>
      <w:r>
        <w:t>Security events shall be logged, monitored, investigated, and escalated according to documented criteria.</w:t>
      </w:r>
    </w:p>
    <w:p>
      <w:pPr>
        <w:pStyle w:val="Heading1"/>
      </w:pPr>
      <w:r>
        <w:t>Evidence Limitation</w:t>
      </w:r>
    </w:p>
    <w:p>
      <w:r>
        <w:t>This policy describes management requirements and does not itself demonstrate operating effectiveness during an examination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