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Plan</w:t>
      </w:r>
    </w:p>
    <w:p>
      <w:r>
        <w:t>ACME Cloud Inc. | Synthetic SOC 2 readiness test artifact | Confidential - Audit Support</w:t>
      </w:r>
    </w:p>
    <w:p>
      <w:pPr>
        <w:pStyle w:val="Heading1"/>
      </w:pPr>
      <w:r>
        <w:t>Classification</w:t>
      </w:r>
    </w:p>
    <w:p>
      <w:r>
        <w:t>Events are classified using severity, customer impact, data exposure, service impact, and regulatory considerations. The Incident Commander may declare a security incident.</w:t>
      </w:r>
    </w:p>
    <w:p>
      <w:pPr>
        <w:pStyle w:val="Heading1"/>
      </w:pPr>
      <w:r>
        <w:t>Lifecycle</w:t>
      </w:r>
    </w:p>
    <w:p>
      <w:r>
        <w:t>Preparation, detection, analysis, containment, eradication, recovery, and lessons learned.</w:t>
      </w:r>
    </w:p>
    <w:p>
      <w:pPr>
        <w:pStyle w:val="Heading1"/>
      </w:pPr>
      <w:r>
        <w:t>Testing</w:t>
      </w:r>
    </w:p>
    <w:p>
      <w:r>
        <w:t>The plan is expected to be exercised at least annually. Exercise results and corrective actions are retained.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