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Endpoint Security Policy</w:t>
      </w:r>
    </w:p>
    <w:p>
      <w:r>
        <w:t>ACME Cloud Inc. | Synthetic SOC 2 readiness test artifact | Confidential</w:t>
      </w:r>
    </w:p>
    <w:p>
      <w:pPr>
        <w:pStyle w:val="Heading1"/>
      </w:pPr>
      <w:r>
        <w:t>Baseline</w:t>
      </w:r>
    </w:p>
    <w:p>
      <w:r>
        <w:t>Company-managed endpoints shall use approved endpoint protection, disk encryption, screen locking, patching, and centralized management.</w:t>
      </w:r>
    </w:p>
    <w:p>
      <w:pPr>
        <w:pStyle w:val="Heading1"/>
      </w:pPr>
      <w:r>
        <w:t>Coverage</w:t>
      </w:r>
    </w:p>
    <w:p>
      <w:r>
        <w:t>Exceptions require documented approval. Coverage reports should be reconciled to the managed device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