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Physical Security Policy</w:t>
      </w:r>
    </w:p>
    <w:p>
      <w:r>
        <w:t>ACME Cloud Inc. | Synthetic SOC 2 readiness test artifact | Confidential</w:t>
      </w:r>
    </w:p>
    <w:p>
      <w:pPr>
        <w:pStyle w:val="Heading1"/>
      </w:pPr>
      <w:r>
        <w:t>Facilities</w:t>
      </w:r>
    </w:p>
    <w:p>
      <w:r>
        <w:t>Access to controlled facilities shall be limited to authorized personnel and reviewed periodically.</w:t>
      </w:r>
    </w:p>
    <w:p>
      <w:pPr>
        <w:pStyle w:val="Heading1"/>
      </w:pPr>
      <w:r>
        <w:t>Visitors</w:t>
      </w:r>
    </w:p>
    <w:p>
      <w:r>
        <w:t>Visitors require sponsorship, logging, temporary identification, and return of visitor credentials where applicable.</w:t>
      </w:r>
    </w:p>
    <w:p>
      <w:pPr>
        <w:pStyle w:val="Heading1"/>
      </w:pPr>
      <w:r>
        <w:t>Termination</w:t>
      </w:r>
    </w:p>
    <w:p>
      <w:r>
        <w:t>Physical access should be removed following termination or role change.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