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Classification and Retention Policy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Classification</w:t>
      </w:r>
    </w:p>
    <w:p>
      <w:r>
        <w:t>Information is classified as Public, Internal, Confidential, or Restricted based on sensitivity and contractual requirements.</w:t>
      </w:r>
    </w:p>
    <w:p>
      <w:pPr>
        <w:pStyle w:val="Heading1"/>
      </w:pPr>
      <w:r>
        <w:t>Retention</w:t>
      </w:r>
    </w:p>
    <w:p>
      <w:r>
        <w:t>Customer records are retained according to contractual and legal requirements. Production backups are subject to documented retention schedules.</w:t>
      </w:r>
    </w:p>
    <w:p>
      <w:pPr>
        <w:pStyle w:val="Heading1"/>
      </w:pPr>
      <w:r>
        <w:t>Deletion</w:t>
      </w:r>
    </w:p>
    <w:p>
      <w:r>
        <w:t>Data reaching end of retention shall be securely deleted or rendered unrecoverable, subject to legal hold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