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Management Policy</w:t>
      </w:r>
    </w:p>
    <w:p>
      <w:r>
        <w:t>ACME Cloud Inc. | Synthetic SOC 2 readiness test artifact | Confidential - Audit Support</w:t>
      </w:r>
    </w:p>
    <w:p>
      <w:pPr>
        <w:pStyle w:val="Heading1"/>
      </w:pPr>
      <w:r>
        <w:t>Requirement</w:t>
      </w:r>
    </w:p>
    <w:p>
      <w:r>
        <w:t>Production changes require a documented request, risk/impact assessment, testing evidence, approval prior to implementation, and post-implementation validation. Emergency changes may follow an expedited path but require retrospective review.</w:t>
      </w:r>
    </w:p>
    <w:p>
      <w:pPr>
        <w:pStyle w:val="Heading1"/>
      </w:pPr>
      <w:r>
        <w:t>Segregation</w:t>
      </w:r>
    </w:p>
    <w:p>
      <w:r>
        <w:t>Where feasible, the requester should not be the sole approver of their own production change.</w:t>
      </w:r>
    </w:p>
    <w:p>
      <w:pPr>
        <w:pStyle w:val="Heading1"/>
      </w:pPr>
      <w:r>
        <w:t>Evidence</w:t>
      </w:r>
    </w:p>
    <w:p>
      <w:r>
        <w:t>Tickets, pull requests, test results, deployment records, and approvals should be retained.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