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Network Security Policy</w:t>
      </w:r>
    </w:p>
    <w:p>
      <w:r>
        <w:t>ACME Cloud Inc. | Synthetic SOC 2 readiness test artifact | Confidential - Audit Support</w:t>
      </w:r>
    </w:p>
    <w:p>
      <w:pPr>
        <w:pStyle w:val="Heading1"/>
      </w:pPr>
      <w:r>
        <w:t>Boundary Protection</w:t>
      </w:r>
    </w:p>
    <w:p>
      <w:r>
        <w:t>Production network boundaries shall restrict inbound and outbound communication to approved business requirements.</w:t>
      </w:r>
    </w:p>
    <w:p>
      <w:pPr>
        <w:pStyle w:val="Heading1"/>
      </w:pPr>
      <w:r>
        <w:t>Administrative Access</w:t>
      </w:r>
    </w:p>
    <w:p>
      <w:r>
        <w:t>Administrative interfaces should not be directly exposed to the public internet unless explicitly approved and protected.</w:t>
      </w:r>
    </w:p>
    <w:p>
      <w:pPr>
        <w:pStyle w:val="Heading1"/>
      </w:pPr>
      <w:r>
        <w:t>Review</w:t>
      </w:r>
    </w:p>
    <w:p>
      <w:r>
        <w:t>Boundary rules are reviewed periodically and temporary rules require an owner and expiration.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