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Encryption and Key Management Policy</w:t>
      </w:r>
    </w:p>
    <w:p>
      <w:r>
        <w:t>ACME Cloud Inc. | Synthetic SOC 2 readiness test artifact | Confidential</w:t>
      </w:r>
    </w:p>
    <w:p>
      <w:pPr>
        <w:pStyle w:val="Heading1"/>
      </w:pPr>
      <w:r>
        <w:t>At Rest</w:t>
      </w:r>
    </w:p>
    <w:p>
      <w:r>
        <w:t>Restricted production data shall be encrypted at rest using approved cryptographic mechanisms.</w:t>
      </w:r>
    </w:p>
    <w:p>
      <w:pPr>
        <w:pStyle w:val="Heading1"/>
      </w:pPr>
      <w:r>
        <w:t>In Transit</w:t>
      </w:r>
    </w:p>
    <w:p>
      <w:r>
        <w:t>Restricted data transmitted over untrusted networks shall use approved encrypted protocols.</w:t>
      </w:r>
    </w:p>
    <w:p>
      <w:pPr>
        <w:pStyle w:val="Heading1"/>
      </w:pPr>
      <w:r>
        <w:t>Keys</w:t>
      </w:r>
    </w:p>
    <w:p>
      <w:r>
        <w:t>Cryptographic keys shall have restricted administration, rotation, and lifecycle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