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Risk Management Policy</w:t>
      </w:r>
    </w:p>
    <w:p>
      <w:r>
        <w:t>ACME Cloud Inc. | Synthetic SOC 2 readiness test artifact | Confidential - Audit Support</w:t>
      </w:r>
    </w:p>
    <w:p>
      <w:pPr>
        <w:pStyle w:val="Heading1"/>
      </w:pPr>
      <w:r>
        <w:t>Due Diligence</w:t>
      </w:r>
    </w:p>
    <w:p>
      <w:r>
        <w:t>Security due diligence shall be performed before onboarding vendors that process confidential information or support critical services.</w:t>
      </w:r>
    </w:p>
    <w:p>
      <w:pPr>
        <w:pStyle w:val="Heading1"/>
      </w:pPr>
      <w:r>
        <w:t>Monitoring</w:t>
      </w:r>
    </w:p>
    <w:p>
      <w:r>
        <w:t>Critical vendors are reassessed at least annually and material findings are tracked to resolution or risk acceptance.</w:t>
      </w:r>
    </w:p>
    <w:p>
      <w:pPr>
        <w:pStyle w:val="Heading1"/>
      </w:pPr>
      <w:r>
        <w:t>Assurance</w:t>
      </w:r>
    </w:p>
    <w:p>
      <w:r>
        <w:t>SOC reports, ISO certifications, questionnaires, contracts, and other evidence may be considered based on risk.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