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Disaster Recovery Plan</w:t>
      </w:r>
    </w:p>
    <w:p>
      <w:r>
        <w:t>ACME Cloud Inc. | Synthetic SOC 2 readiness test artifact | Confidential - Audit Support</w:t>
      </w:r>
    </w:p>
    <w:p>
      <w:pPr>
        <w:pStyle w:val="Heading1"/>
      </w:pPr>
      <w:r>
        <w:t>Objectives</w:t>
      </w:r>
    </w:p>
    <w:p>
      <w:r>
        <w:t>Critical customer API: RTO 4 hours, RPO 1 hour. Supporting reporting service: RTO 24 hours, RPO 12 hours.</w:t>
      </w:r>
    </w:p>
    <w:p>
      <w:pPr>
        <w:pStyle w:val="Heading1"/>
      </w:pPr>
      <w:r>
        <w:t>Recovery</w:t>
      </w:r>
    </w:p>
    <w:p>
      <w:r>
        <w:t>Recovery procedures include infrastructure restoration, database recovery, validation, and business-owner sign-off.</w:t>
      </w:r>
    </w:p>
    <w:p>
      <w:pPr>
        <w:pStyle w:val="Heading1"/>
      </w:pPr>
      <w:r>
        <w:t>Testing</w:t>
      </w:r>
    </w:p>
    <w:p>
      <w:r>
        <w:t>Critical recovery procedures shall be tested at least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