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395"/>
          <w:sz w:val="32"/>
          <w:szCs w:val="32"/>
        </w:rPr>
        <w:t xml:space="preserve">NLP-06: Privacy-Preserving Personalized Healthcare &amp; Wellness Assistant</w:t>
      </w:r>
    </w:p>
    <w:p>
      <w:pPr>
        <w:spacing w:after="80"/>
      </w:pPr>
      <w:r>
        <w:rPr>
          <w:i/>
          <w:iCs/>
          <w:color w:val="555555"/>
          <w:sz w:val="22"/>
          <w:szCs w:val="22"/>
        </w:rPr>
        <w:t xml:space="preserve">Mentor Discussion Brief — Ward-Based Local LLM Assistant with Federated Privacy-Utility Study</w:t>
      </w:r>
    </w:p>
    <w:p>
      <w:pPr>
        <w:spacing w:after="200"/>
      </w:pPr>
      <w:r>
        <w:rPr>
          <w:color w:val="777777"/>
          <w:sz w:val="20"/>
          <w:szCs w:val="20"/>
        </w:rPr>
        <w:t xml:space="preserve">Faculty Mentor: Dr. M. S. Srividya   |   Team Size: 2 students   |   Prepared for: Scope discussion meeting</w:t>
      </w:r>
    </w:p>
    <w:p>
      <w:pPr>
        <w:pBdr>
          <w:bottom w:val="single" w:color="999999" w:sz="6" w:space="1"/>
        </w:pBdr>
        <w:spacing w:after="200"/>
      </w:pPr>
    </w:p>
    <w:p>
      <w:pPr>
        <w:pStyle w:val="Heading1"/>
        <w:spacing w:after="150" w:before="300"/>
      </w:pPr>
      <w:r>
        <w:t xml:space="preserve">1. Purpose of This Document</w:t>
      </w:r>
    </w:p>
    <w:p>
      <w:pPr>
        <w:spacing w:after="120"/>
      </w:pPr>
      <w:r>
        <w:t xml:space="preserve">This brief summarizes the refined project scope, the core idea, the research contribution, the technical architecture, team roles, and the proposed timeline, ahead of the scope discussion with the mentor. The original problem statement (NLP-06) offered a broad set of possible features; this document narrows that into a specific, defensible plan combining a working prototype and a publishable research contribution.</w:t>
      </w:r>
    </w:p>
    <w:p>
      <w:pPr>
        <w:pStyle w:val="Heading1"/>
        <w:spacing w:after="150" w:before="300"/>
      </w:pPr>
      <w:r>
        <w:t xml:space="preserve">2. Core Idea</w:t>
      </w:r>
    </w:p>
    <w:p>
      <w:pPr>
        <w:spacing w:after="120"/>
      </w:pPr>
      <w:r>
        <w:rPr>
          <w:b/>
          <w:bCs/>
        </w:rPr>
        <w:t xml:space="preserve">Instead of a generic personal wellness chatbot, the project is framed around a concrete hospital deployment scenario:</w:t>
      </w:r>
    </w:p>
    <w:p>
      <w:pPr>
        <w:pStyle w:val="ListParagraph"/>
        <w:numPr>
          <w:ilvl w:val="0"/>
          <w:numId w:val="2"/>
        </w:numPr>
        <w:spacing w:after="60"/>
      </w:pPr>
      <w:r>
        <w:t xml:space="preserve">A patient, during their hospital stay, has a locally deployed LLM assistant running on the hospital's internal ward network.</w:t>
      </w:r>
    </w:p>
    <w:p>
      <w:pPr>
        <w:pStyle w:val="ListParagraph"/>
        <w:numPr>
          <w:ilvl w:val="0"/>
          <w:numId w:val="2"/>
        </w:numPr>
        <w:spacing w:after="60"/>
      </w:pPr>
      <w:r>
        <w:t xml:space="preserve">The assistant has access to that patient's own data: vitals, lab reports, nutrition/calorie logs, exercise/physiotherapy logs, and doctor-patient conversation notes.</w:t>
      </w:r>
    </w:p>
    <w:p>
      <w:pPr>
        <w:pStyle w:val="ListParagraph"/>
        <w:numPr>
          <w:ilvl w:val="0"/>
          <w:numId w:val="2"/>
        </w:numPr>
        <w:spacing w:after="60"/>
      </w:pPr>
      <w:r>
        <w:t xml:space="preserve">It acts as a 24/7 assistant for the patient (answering questions, logging data, summarizing lab reports, reminders) and as a tool for the care team (quick patient summaries, alerts, conversation review).</w:t>
      </w:r>
    </w:p>
    <w:p>
      <w:pPr>
        <w:pStyle w:val="ListParagraph"/>
        <w:numPr>
          <w:ilvl w:val="0"/>
          <w:numId w:val="2"/>
        </w:numPr>
        <w:spacing w:after="60"/>
      </w:pPr>
      <w:r>
        <w:t xml:space="preserve">All processing stays within the hospital's local network — no patient data is sent to any external cloud service.</w:t>
      </w:r>
    </w:p>
    <w:p>
      <w:pPr>
        <w:spacing w:after="120"/>
      </w:pPr>
      <w:r>
        <w:t xml:space="preserve">This gives the project a concrete deployment boundary (the ward/hospital network), a clear reason for privacy-preserving design, and a natural way to justify federated learning: multiple patients/wards collaboratively improving a shared model without sharing raw data.</w:t>
      </w:r>
    </w:p>
    <w:p>
      <w:pPr>
        <w:pStyle w:val="Heading1"/>
        <w:spacing w:after="150" w:before="300"/>
      </w:pPr>
      <w:r>
        <w:t xml:space="preserve">3. Two-Part Scope: Prototype vs. Paper</w:t>
      </w:r>
    </w:p>
    <w:p>
      <w:pPr>
        <w:spacing w:after="120"/>
      </w:pPr>
      <w:r>
        <w:t xml:space="preserve">Given the ambition of both a working system and a publishable paper, the two are deliberately separated:</w:t>
      </w:r>
    </w:p>
    <w:p>
      <w:pPr>
        <w:pStyle w:val="Heading2"/>
        <w:spacing w:after="120" w:before="240"/>
      </w:pPr>
      <w:r>
        <w:t xml:space="preserve">3.1 Prototype (broad, demonstrable)</w:t>
      </w:r>
    </w:p>
    <w:p>
      <w:pPr>
        <w:pStyle w:val="ListParagraph"/>
        <w:numPr>
          <w:ilvl w:val="0"/>
          <w:numId w:val="2"/>
        </w:numPr>
        <w:spacing w:after="60"/>
      </w:pPr>
      <w:r>
        <w:t xml:space="preserve">Patient interface: conversational assistant grounded in the patient's own local record (RAG), meal/exercise logging, lab report summarization in plain language, reminders.</w:t>
      </w:r>
    </w:p>
    <w:p>
      <w:pPr>
        <w:pStyle w:val="ListParagraph"/>
        <w:numPr>
          <w:ilvl w:val="0"/>
          <w:numId w:val="2"/>
        </w:numPr>
        <w:spacing w:after="60"/>
      </w:pPr>
      <w:r>
        <w:t xml:space="preserve">Doctor interface: quick patient-summary queries, alert dashboard, review of conversation logs.</w:t>
      </w:r>
    </w:p>
    <w:p>
      <w:pPr>
        <w:pStyle w:val="ListParagraph"/>
        <w:numPr>
          <w:ilvl w:val="0"/>
          <w:numId w:val="2"/>
        </w:numPr>
        <w:spacing w:after="60"/>
      </w:pPr>
      <w:r>
        <w:t xml:space="preserve">Backend: local LLM deployment (e.g., Llama 3.1 8B / Mistral 7B via Ollama or llama.cpp), encrypted local data storage, and the FL/DP anomaly-detection pipeline.</w:t>
      </w:r>
    </w:p>
    <w:p>
      <w:pPr>
        <w:pStyle w:val="ListParagraph"/>
        <w:numPr>
          <w:ilvl w:val="0"/>
          <w:numId w:val="2"/>
        </w:numPr>
        <w:spacing w:after="60"/>
      </w:pPr>
      <w:r>
        <w:t xml:space="preserve">Data: MIMIC-III/IV for realistic vitals and lab data; synthetic generation for conversation logs, nutrition, and exercise data (not present in MIMIC).</w:t>
      </w:r>
    </w:p>
    <w:p>
      <w:pPr>
        <w:pStyle w:val="Heading2"/>
        <w:spacing w:after="120" w:before="240"/>
      </w:pPr>
      <w:r>
        <w:t xml:space="preserve">3.2 Paper (narrow, defensible research contribution)</w:t>
      </w:r>
    </w:p>
    <w:p>
      <w:pPr>
        <w:spacing w:after="120"/>
      </w:pPr>
      <w:r>
        <w:rPr>
          <w:b/>
          <w:bCs/>
        </w:rPr>
        <w:t xml:space="preserve">Recommended focus: </w:t>
      </w:r>
      <w:r>
        <w:t xml:space="preserve">Privacy-utility tradeoff study — differential privacy applied to federated anomaly/risk detection across simulated ward nodes.</w:t>
      </w:r>
    </w:p>
    <w:p>
      <w:pPr>
        <w:pStyle w:val="ListParagraph"/>
        <w:numPr>
          <w:ilvl w:val="0"/>
          <w:numId w:val="2"/>
        </w:numPr>
        <w:spacing w:after="60"/>
      </w:pPr>
      <w:r>
        <w:t xml:space="preserve">Independent variable: differential privacy budget (ε) applied during federated training.</w:t>
      </w:r>
    </w:p>
    <w:p>
      <w:pPr>
        <w:pStyle w:val="ListParagraph"/>
        <w:numPr>
          <w:ilvl w:val="0"/>
          <w:numId w:val="2"/>
        </w:numPr>
        <w:spacing w:after="60"/>
      </w:pPr>
      <w:r>
        <w:t xml:space="preserve">Dependent variable: anomaly/risk-detection performance (F1, precision, recall, AUC on critical alerts).</w:t>
      </w:r>
    </w:p>
    <w:p>
      <w:pPr>
        <w:pStyle w:val="ListParagraph"/>
        <w:numPr>
          <w:ilvl w:val="0"/>
          <w:numId w:val="2"/>
        </w:numPr>
        <w:spacing w:after="60"/>
      </w:pPr>
      <w:r>
        <w:t xml:space="preserve">Deliverable: tradeoff curves identifying practical operating points for ward deployment (how much privacy can be added before detection quality degrades unacceptably).</w:t>
      </w:r>
    </w:p>
    <w:p>
      <w:pPr>
        <w:pStyle w:val="ListParagraph"/>
        <w:numPr>
          <w:ilvl w:val="0"/>
          <w:numId w:val="2"/>
        </w:numPr>
        <w:spacing w:after="60"/>
      </w:pPr>
      <w:r>
        <w:t xml:space="preserve">Optionally extend with non-IID / data-heterogeneity experiments across wards if time permits, to strengthen the contribution.</w:t>
      </w:r>
    </w:p>
    <w:p>
      <w:pPr>
        <w:spacing w:after="120"/>
      </w:pPr>
      <w:r>
        <w:rPr>
          <w:i/>
          <w:iCs/>
          <w:color w:val="444444"/>
        </w:rPr>
        <w:t xml:space="preserve">This angle was chosen over two alternatives considered: (a) federated learning alone as the contribution — too incremental, as FL-in-healthcare is well studied; (b) RAG-grounding factual accuracy of the LLM — a legitimate angle but harder to evaluate rigorously without expert-annotated ground truth in the available timeframe. The privacy-utility tradeoff gives a clean, measurable, parameterized experiment suited to a two-person team.</w:t>
      </w:r>
    </w:p>
    <w:p>
      <w:pPr>
        <w:pStyle w:val="Heading1"/>
        <w:spacing w:after="150" w:before="300"/>
      </w:pPr>
      <w:r>
        <w:t xml:space="preserve">4. Technical Architecture Overview</w:t>
      </w:r>
    </w:p>
    <w:p>
      <w:pPr>
        <w:pStyle w:val="ListParagraph"/>
        <w:numPr>
          <w:ilvl w:val="0"/>
          <w:numId w:val="2"/>
        </w:numPr>
        <w:spacing w:after="60"/>
      </w:pPr>
      <w:r>
        <w:t xml:space="preserve">Local LLM inference layer — patient-scoped, no external API calls.</w:t>
      </w:r>
    </w:p>
    <w:p>
      <w:pPr>
        <w:pStyle w:val="ListParagraph"/>
        <w:numPr>
          <w:ilvl w:val="0"/>
          <w:numId w:val="2"/>
        </w:numPr>
        <w:spacing w:after="60"/>
      </w:pPr>
      <w:r>
        <w:t xml:space="preserve">RAG layer — grounds LLM responses in the patient's structured local record (vitals, logs, lab reports, notes).</w:t>
      </w:r>
    </w:p>
    <w:p>
      <w:pPr>
        <w:pStyle w:val="ListParagraph"/>
        <w:numPr>
          <w:ilvl w:val="0"/>
          <w:numId w:val="2"/>
        </w:numPr>
        <w:spacing w:after="60"/>
      </w:pPr>
      <w:r>
        <w:t xml:space="preserve">Local encrypted storage — per-patient data, scoped to device/session.</w:t>
      </w:r>
    </w:p>
    <w:p>
      <w:pPr>
        <w:pStyle w:val="ListParagraph"/>
        <w:numPr>
          <w:ilvl w:val="0"/>
          <w:numId w:val="2"/>
        </w:numPr>
        <w:spacing w:after="60"/>
      </w:pPr>
      <w:r>
        <w:t xml:space="preserve">Federated learning layer — lightweight shared model (not the full LLM) for anomaly/risk detection, trained across simulated ward nodes (e.g., using Flower or PySyft).</w:t>
      </w:r>
    </w:p>
    <w:p>
      <w:pPr>
        <w:pStyle w:val="ListParagraph"/>
        <w:numPr>
          <w:ilvl w:val="0"/>
          <w:numId w:val="2"/>
        </w:numPr>
        <w:spacing w:after="60"/>
      </w:pPr>
      <w:r>
        <w:t xml:space="preserve">Differential privacy layer — DP mechanism (e.g., DP-SGD or output perturbation) with adjustable privacy budget ε, applied to the federated model.</w:t>
      </w:r>
    </w:p>
    <w:p>
      <w:pPr>
        <w:pStyle w:val="ListParagraph"/>
        <w:numPr>
          <w:ilvl w:val="0"/>
          <w:numId w:val="2"/>
        </w:numPr>
        <w:spacing w:after="60"/>
      </w:pPr>
      <w:r>
        <w:t xml:space="preserve">Doctor-facing alert dashboard — fed directly by the FL/DP anomaly model's outputs.</w:t>
      </w:r>
    </w:p>
    <w:p>
      <w:pPr>
        <w:spacing w:after="120"/>
      </w:pPr>
      <w:r>
        <w:rPr>
          <w:i/>
          <w:iCs/>
          <w:color w:val="444444"/>
        </w:rPr>
        <w:t xml:space="preserve">Note: only the lightweight downstream classifier (anomaly/risk detection) is federated — the conversational LLM itself remains fully local per patient. Federating a full LLM is not practical at this scale.</w:t>
      </w:r>
    </w:p>
    <w:p>
      <w:pPr>
        <w:pStyle w:val="Heading1"/>
        <w:spacing w:after="150" w:before="300"/>
      </w:pPr>
      <w:r>
        <w:t xml:space="preserve">5.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2E5395" w:val="clear"/>
            <w:tcMar>
              <w:top w:type="dxa" w:w="100"/>
              <w:left w:type="dxa" w:w="120"/>
              <w:bottom w:type="dxa" w:w="100"/>
              <w:right w:type="dxa" w:w="120"/>
            </w:tcMar>
          </w:tcPr>
          <w:p>
            <w:r>
              <w:rPr>
                <w:b/>
                <w:bCs/>
                <w:color w:val="FFFFFF"/>
                <w:sz w:val="20"/>
                <w:szCs w:val="20"/>
              </w:rPr>
              <w:t xml:space="preserve">Role</w:t>
            </w:r>
          </w:p>
        </w:tc>
        <w:tc>
          <w:tcPr>
            <w:tcW w:type="dxa" w:w="6360"/>
            <w:shd w:fill="2E5395" w:val="clear"/>
            <w:tcMar>
              <w:top w:type="dxa" w:w="100"/>
              <w:left w:type="dxa" w:w="120"/>
              <w:bottom w:type="dxa" w:w="100"/>
              <w:right w:type="dxa" w:w="120"/>
            </w:tcMar>
          </w:tcPr>
          <w:p>
            <w:r>
              <w:rPr>
                <w:b/>
                <w:bCs/>
                <w:color w:val="FFFFFF"/>
                <w:sz w:val="20"/>
                <w:szCs w:val="20"/>
              </w:rPr>
              <w:t xml:space="preserve">Responsibilities</w:t>
            </w:r>
          </w:p>
        </w:tc>
      </w:tr>
      <w:tr>
        <w:tc>
          <w:tcPr>
            <w:tcW w:type="dxa" w:w="3000"/>
            <w:tcMar>
              <w:top w:type="dxa" w:w="100"/>
              <w:left w:type="dxa" w:w="120"/>
              <w:bottom w:type="dxa" w:w="100"/>
              <w:right w:type="dxa" w:w="120"/>
            </w:tcMar>
          </w:tcPr>
          <w:p>
            <w:r>
              <w:rPr>
                <w:b w:val="false"/>
                <w:bCs w:val="false"/>
                <w:color w:val="000000"/>
                <w:sz w:val="20"/>
                <w:szCs w:val="20"/>
              </w:rPr>
              <w:t xml:space="preserve">Person A — Product/LLM</w:t>
            </w:r>
          </w:p>
        </w:tc>
        <w:tc>
          <w:tcPr>
            <w:tcW w:type="dxa" w:w="6360"/>
            <w:tcMar>
              <w:top w:type="dxa" w:w="100"/>
              <w:left w:type="dxa" w:w="120"/>
              <w:bottom w:type="dxa" w:w="100"/>
              <w:right w:type="dxa" w:w="120"/>
            </w:tcMar>
          </w:tcPr>
          <w:p>
            <w:r>
              <w:rPr>
                <w:b w:val="false"/>
                <w:bCs w:val="false"/>
                <w:color w:val="000000"/>
                <w:sz w:val="20"/>
                <w:szCs w:val="20"/>
              </w:rPr>
              <w:t xml:space="preserve">Local LLM deployment, RAG pipeline, patient interface, doctor interface, integration</w:t>
            </w:r>
          </w:p>
        </w:tc>
      </w:tr>
      <w:tr>
        <w:tc>
          <w:tcPr>
            <w:tcW w:type="dxa" w:w="3000"/>
            <w:tcMar>
              <w:top w:type="dxa" w:w="100"/>
              <w:left w:type="dxa" w:w="120"/>
              <w:bottom w:type="dxa" w:w="100"/>
              <w:right w:type="dxa" w:w="120"/>
            </w:tcMar>
          </w:tcPr>
          <w:p>
            <w:r>
              <w:rPr>
                <w:b w:val="false"/>
                <w:bCs w:val="false"/>
                <w:color w:val="000000"/>
                <w:sz w:val="20"/>
                <w:szCs w:val="20"/>
              </w:rPr>
              <w:t xml:space="preserve">Person B — Research/FL</w:t>
            </w:r>
          </w:p>
        </w:tc>
        <w:tc>
          <w:tcPr>
            <w:tcW w:type="dxa" w:w="6360"/>
            <w:tcMar>
              <w:top w:type="dxa" w:w="100"/>
              <w:left w:type="dxa" w:w="120"/>
              <w:bottom w:type="dxa" w:w="100"/>
              <w:right w:type="dxa" w:w="120"/>
            </w:tcMar>
          </w:tcPr>
          <w:p>
            <w:r>
              <w:rPr>
                <w:b w:val="false"/>
                <w:bCs w:val="false"/>
                <w:color w:val="000000"/>
                <w:sz w:val="20"/>
                <w:szCs w:val="20"/>
              </w:rPr>
              <w:t xml:space="preserve">Federated learning pipeline, differential privacy implementation, experiments, paper writing lead</w:t>
            </w:r>
          </w:p>
        </w:tc>
      </w:tr>
      <w:tr>
        <w:tc>
          <w:tcPr>
            <w:tcW w:type="dxa" w:w="3000"/>
            <w:tcMar>
              <w:top w:type="dxa" w:w="100"/>
              <w:left w:type="dxa" w:w="120"/>
              <w:bottom w:type="dxa" w:w="100"/>
              <w:right w:type="dxa" w:w="120"/>
            </w:tcMar>
          </w:tcPr>
          <w:p>
            <w:r>
              <w:rPr>
                <w:b w:val="false"/>
                <w:bCs w:val="false"/>
                <w:color w:val="000000"/>
                <w:sz w:val="20"/>
                <w:szCs w:val="20"/>
              </w:rPr>
              <w:t xml:space="preserve">Shared</w:t>
            </w:r>
          </w:p>
        </w:tc>
        <w:tc>
          <w:tcPr>
            <w:tcW w:type="dxa" w:w="6360"/>
            <w:tcMar>
              <w:top w:type="dxa" w:w="100"/>
              <w:left w:type="dxa" w:w="120"/>
              <w:bottom w:type="dxa" w:w="100"/>
              <w:right w:type="dxa" w:w="120"/>
            </w:tcMar>
          </w:tcPr>
          <w:p>
            <w:r>
              <w:rPr>
                <w:b w:val="false"/>
                <w:bCs w:val="false"/>
                <w:color w:val="000000"/>
                <w:sz w:val="20"/>
                <w:szCs w:val="20"/>
              </w:rPr>
              <w:t xml:space="preserve">Data pipeline (Weeks 1–4), integration (Weeks 11–12), final report/paper polish</w:t>
            </w:r>
          </w:p>
        </w:tc>
      </w:tr>
    </w:tbl>
    <w:p>
      <w:pPr>
        <w:spacing w:after="200"/>
      </w:pPr>
    </w:p>
    <w:p>
      <w:pPr>
        <w:pStyle w:val="Heading1"/>
        <w:spacing w:after="150" w:before="300"/>
      </w:pPr>
      <w:r>
        <w:t xml:space="preserve">6. Proposed Timeline (16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shd w:fill="2E5395" w:val="clear"/>
            <w:tcMar>
              <w:top w:type="dxa" w:w="100"/>
              <w:left w:type="dxa" w:w="120"/>
              <w:bottom w:type="dxa" w:w="100"/>
              <w:right w:type="dxa" w:w="120"/>
            </w:tcMar>
          </w:tcPr>
          <w:p>
            <w:r>
              <w:rPr>
                <w:b/>
                <w:bCs/>
                <w:color w:val="FFFFFF"/>
                <w:sz w:val="20"/>
                <w:szCs w:val="20"/>
              </w:rPr>
              <w:t xml:space="preserve">Phase</w:t>
            </w:r>
          </w:p>
        </w:tc>
        <w:tc>
          <w:tcPr>
            <w:tcW w:type="dxa" w:w="1560"/>
            <w:shd w:fill="2E5395" w:val="clear"/>
            <w:tcMar>
              <w:top w:type="dxa" w:w="100"/>
              <w:left w:type="dxa" w:w="120"/>
              <w:bottom w:type="dxa" w:w="100"/>
              <w:right w:type="dxa" w:w="120"/>
            </w:tcMar>
          </w:tcPr>
          <w:p>
            <w:r>
              <w:rPr>
                <w:b/>
                <w:bCs/>
                <w:color w:val="FFFFFF"/>
                <w:sz w:val="20"/>
                <w:szCs w:val="20"/>
              </w:rPr>
              <w:t xml:space="preserve">Weeks</w:t>
            </w:r>
          </w:p>
        </w:tc>
        <w:tc>
          <w:tcPr>
            <w:tcW w:type="dxa" w:w="5200"/>
            <w:shd w:fill="2E5395" w:val="clear"/>
            <w:tcMar>
              <w:top w:type="dxa" w:w="100"/>
              <w:left w:type="dxa" w:w="120"/>
              <w:bottom w:type="dxa" w:w="100"/>
              <w:right w:type="dxa" w:w="120"/>
            </w:tcMar>
          </w:tcPr>
          <w:p>
            <w:r>
              <w:rPr>
                <w:b/>
                <w:bCs/>
                <w:color w:val="FFFFFF"/>
                <w:sz w:val="20"/>
                <w:szCs w:val="20"/>
              </w:rPr>
              <w:t xml:space="preserve">Milestone</w:t>
            </w:r>
          </w:p>
        </w:tc>
      </w:tr>
      <w:tr>
        <w:tc>
          <w:tcPr>
            <w:tcW w:type="dxa" w:w="2600"/>
            <w:tcMar>
              <w:top w:type="dxa" w:w="100"/>
              <w:left w:type="dxa" w:w="120"/>
              <w:bottom w:type="dxa" w:w="100"/>
              <w:right w:type="dxa" w:w="120"/>
            </w:tcMar>
          </w:tcPr>
          <w:p>
            <w:r>
              <w:rPr>
                <w:b w:val="false"/>
                <w:bCs w:val="false"/>
                <w:color w:val="000000"/>
                <w:sz w:val="20"/>
                <w:szCs w:val="20"/>
              </w:rPr>
              <w:t xml:space="preserve">1. Foundation</w:t>
            </w:r>
          </w:p>
        </w:tc>
        <w:tc>
          <w:tcPr>
            <w:tcW w:type="dxa" w:w="1560"/>
            <w:tcMar>
              <w:top w:type="dxa" w:w="100"/>
              <w:left w:type="dxa" w:w="120"/>
              <w:bottom w:type="dxa" w:w="100"/>
              <w:right w:type="dxa" w:w="120"/>
            </w:tcMar>
          </w:tcPr>
          <w:p>
            <w:r>
              <w:rPr>
                <w:b w:val="false"/>
                <w:bCs w:val="false"/>
                <w:color w:val="000000"/>
                <w:sz w:val="20"/>
                <w:szCs w:val="20"/>
              </w:rPr>
              <w:t xml:space="preserve">1–3</w:t>
            </w:r>
          </w:p>
        </w:tc>
        <w:tc>
          <w:tcPr>
            <w:tcW w:type="dxa" w:w="5200"/>
            <w:tcMar>
              <w:top w:type="dxa" w:w="100"/>
              <w:left w:type="dxa" w:w="120"/>
              <w:bottom w:type="dxa" w:w="100"/>
              <w:right w:type="dxa" w:w="120"/>
            </w:tcMar>
          </w:tcPr>
          <w:p>
            <w:r>
              <w:rPr>
                <w:b w:val="false"/>
                <w:bCs w:val="false"/>
                <w:color w:val="000000"/>
                <w:sz w:val="20"/>
                <w:szCs w:val="20"/>
              </w:rPr>
              <w:t xml:space="preserve">Architecture doc, MIMIC access confirmed, related work outline</w:t>
            </w:r>
          </w:p>
        </w:tc>
      </w:tr>
      <w:tr>
        <w:tc>
          <w:tcPr>
            <w:tcW w:type="dxa" w:w="2600"/>
            <w:tcMar>
              <w:top w:type="dxa" w:w="100"/>
              <w:left w:type="dxa" w:w="120"/>
              <w:bottom w:type="dxa" w:w="100"/>
              <w:right w:type="dxa" w:w="120"/>
            </w:tcMar>
          </w:tcPr>
          <w:p>
            <w:r>
              <w:rPr>
                <w:b w:val="false"/>
                <w:bCs w:val="false"/>
                <w:color w:val="000000"/>
                <w:sz w:val="20"/>
                <w:szCs w:val="20"/>
              </w:rPr>
              <w:t xml:space="preserve">2. Data Pipeline</w:t>
            </w:r>
          </w:p>
        </w:tc>
        <w:tc>
          <w:tcPr>
            <w:tcW w:type="dxa" w:w="1560"/>
            <w:tcMar>
              <w:top w:type="dxa" w:w="100"/>
              <w:left w:type="dxa" w:w="120"/>
              <w:bottom w:type="dxa" w:w="100"/>
              <w:right w:type="dxa" w:w="120"/>
            </w:tcMar>
          </w:tcPr>
          <w:p>
            <w:r>
              <w:rPr>
                <w:b w:val="false"/>
                <w:bCs w:val="false"/>
                <w:color w:val="000000"/>
                <w:sz w:val="20"/>
                <w:szCs w:val="20"/>
              </w:rPr>
              <w:t xml:space="preserve">3–5</w:t>
            </w:r>
          </w:p>
        </w:tc>
        <w:tc>
          <w:tcPr>
            <w:tcW w:type="dxa" w:w="5200"/>
            <w:tcMar>
              <w:top w:type="dxa" w:w="100"/>
              <w:left w:type="dxa" w:w="120"/>
              <w:bottom w:type="dxa" w:w="100"/>
              <w:right w:type="dxa" w:w="120"/>
            </w:tcMar>
          </w:tcPr>
          <w:p>
            <w:r>
              <w:rPr>
                <w:b w:val="false"/>
                <w:bCs w:val="false"/>
                <w:color w:val="000000"/>
                <w:sz w:val="20"/>
                <w:szCs w:val="20"/>
              </w:rPr>
              <w:t xml:space="preserve">Unified per-patient dataset (real + synthetic) ready</w:t>
            </w:r>
          </w:p>
        </w:tc>
      </w:tr>
      <w:tr>
        <w:tc>
          <w:tcPr>
            <w:tcW w:type="dxa" w:w="2600"/>
            <w:tcMar>
              <w:top w:type="dxa" w:w="100"/>
              <w:left w:type="dxa" w:w="120"/>
              <w:bottom w:type="dxa" w:w="100"/>
              <w:right w:type="dxa" w:w="120"/>
            </w:tcMar>
          </w:tcPr>
          <w:p>
            <w:r>
              <w:rPr>
                <w:b w:val="false"/>
                <w:bCs w:val="false"/>
                <w:color w:val="000000"/>
                <w:sz w:val="20"/>
                <w:szCs w:val="20"/>
              </w:rPr>
              <w:t xml:space="preserve">3. Parallel Build</w:t>
            </w:r>
          </w:p>
        </w:tc>
        <w:tc>
          <w:tcPr>
            <w:tcW w:type="dxa" w:w="1560"/>
            <w:tcMar>
              <w:top w:type="dxa" w:w="100"/>
              <w:left w:type="dxa" w:w="120"/>
              <w:bottom w:type="dxa" w:w="100"/>
              <w:right w:type="dxa" w:w="120"/>
            </w:tcMar>
          </w:tcPr>
          <w:p>
            <w:r>
              <w:rPr>
                <w:b w:val="false"/>
                <w:bCs w:val="false"/>
                <w:color w:val="000000"/>
                <w:sz w:val="20"/>
                <w:szCs w:val="20"/>
              </w:rPr>
              <w:t xml:space="preserve">5–9</w:t>
            </w:r>
          </w:p>
        </w:tc>
        <w:tc>
          <w:tcPr>
            <w:tcW w:type="dxa" w:w="5200"/>
            <w:tcMar>
              <w:top w:type="dxa" w:w="100"/>
              <w:left w:type="dxa" w:w="120"/>
              <w:bottom w:type="dxa" w:w="100"/>
              <w:right w:type="dxa" w:w="120"/>
            </w:tcMar>
          </w:tcPr>
          <w:p>
            <w:r>
              <w:rPr>
                <w:b w:val="false"/>
                <w:bCs w:val="false"/>
                <w:color w:val="000000"/>
                <w:sz w:val="20"/>
                <w:szCs w:val="20"/>
              </w:rPr>
              <w:t xml:space="preserve">Rough assistant prototype + working FL+DP pipeline with baseline numbers</w:t>
            </w:r>
          </w:p>
        </w:tc>
      </w:tr>
      <w:tr>
        <w:tc>
          <w:tcPr>
            <w:tcW w:type="dxa" w:w="2600"/>
            <w:tcMar>
              <w:top w:type="dxa" w:w="100"/>
              <w:left w:type="dxa" w:w="120"/>
              <w:bottom w:type="dxa" w:w="100"/>
              <w:right w:type="dxa" w:w="120"/>
            </w:tcMar>
          </w:tcPr>
          <w:p>
            <w:r>
              <w:rPr>
                <w:b w:val="false"/>
                <w:bCs w:val="false"/>
                <w:color w:val="000000"/>
                <w:sz w:val="20"/>
                <w:szCs w:val="20"/>
              </w:rPr>
              <w:t xml:space="preserve">4. Experiments</w:t>
            </w:r>
          </w:p>
        </w:tc>
        <w:tc>
          <w:tcPr>
            <w:tcW w:type="dxa" w:w="1560"/>
            <w:tcMar>
              <w:top w:type="dxa" w:w="100"/>
              <w:left w:type="dxa" w:w="120"/>
              <w:bottom w:type="dxa" w:w="100"/>
              <w:right w:type="dxa" w:w="120"/>
            </w:tcMar>
          </w:tcPr>
          <w:p>
            <w:r>
              <w:rPr>
                <w:b w:val="false"/>
                <w:bCs w:val="false"/>
                <w:color w:val="000000"/>
                <w:sz w:val="20"/>
                <w:szCs w:val="20"/>
              </w:rPr>
              <w:t xml:space="preserve">9–11</w:t>
            </w:r>
          </w:p>
        </w:tc>
        <w:tc>
          <w:tcPr>
            <w:tcW w:type="dxa" w:w="5200"/>
            <w:tcMar>
              <w:top w:type="dxa" w:w="100"/>
              <w:left w:type="dxa" w:w="120"/>
              <w:bottom w:type="dxa" w:w="100"/>
              <w:right w:type="dxa" w:w="120"/>
            </w:tcMar>
          </w:tcPr>
          <w:p>
            <w:r>
              <w:rPr>
                <w:b w:val="false"/>
                <w:bCs w:val="false"/>
                <w:color w:val="000000"/>
                <w:sz w:val="20"/>
                <w:szCs w:val="20"/>
              </w:rPr>
              <w:t xml:space="preserve">Final experimental results/figures; alerts live in prototype</w:t>
            </w:r>
          </w:p>
        </w:tc>
      </w:tr>
      <w:tr>
        <w:tc>
          <w:tcPr>
            <w:tcW w:type="dxa" w:w="2600"/>
            <w:tcMar>
              <w:top w:type="dxa" w:w="100"/>
              <w:left w:type="dxa" w:w="120"/>
              <w:bottom w:type="dxa" w:w="100"/>
              <w:right w:type="dxa" w:w="120"/>
            </w:tcMar>
          </w:tcPr>
          <w:p>
            <w:r>
              <w:rPr>
                <w:b w:val="false"/>
                <w:bCs w:val="false"/>
                <w:color w:val="000000"/>
                <w:sz w:val="20"/>
                <w:szCs w:val="20"/>
              </w:rPr>
              <w:t xml:space="preserve">5. Integration</w:t>
            </w:r>
          </w:p>
        </w:tc>
        <w:tc>
          <w:tcPr>
            <w:tcW w:type="dxa" w:w="1560"/>
            <w:tcMar>
              <w:top w:type="dxa" w:w="100"/>
              <w:left w:type="dxa" w:w="120"/>
              <w:bottom w:type="dxa" w:w="100"/>
              <w:right w:type="dxa" w:w="120"/>
            </w:tcMar>
          </w:tcPr>
          <w:p>
            <w:r>
              <w:rPr>
                <w:b w:val="false"/>
                <w:bCs w:val="false"/>
                <w:color w:val="000000"/>
                <w:sz w:val="20"/>
                <w:szCs w:val="20"/>
              </w:rPr>
              <w:t xml:space="preserve">11–12</w:t>
            </w:r>
          </w:p>
        </w:tc>
        <w:tc>
          <w:tcPr>
            <w:tcW w:type="dxa" w:w="5200"/>
            <w:tcMar>
              <w:top w:type="dxa" w:w="100"/>
              <w:left w:type="dxa" w:w="120"/>
              <w:bottom w:type="dxa" w:w="100"/>
              <w:right w:type="dxa" w:w="120"/>
            </w:tcMar>
          </w:tcPr>
          <w:p>
            <w:r>
              <w:rPr>
                <w:b w:val="false"/>
                <w:bCs w:val="false"/>
                <w:color w:val="000000"/>
                <w:sz w:val="20"/>
                <w:szCs w:val="20"/>
              </w:rPr>
              <w:t xml:space="preserve">Fully integrated prototype, demo-ready</w:t>
            </w:r>
          </w:p>
        </w:tc>
      </w:tr>
      <w:tr>
        <w:tc>
          <w:tcPr>
            <w:tcW w:type="dxa" w:w="2600"/>
            <w:tcMar>
              <w:top w:type="dxa" w:w="100"/>
              <w:left w:type="dxa" w:w="120"/>
              <w:bottom w:type="dxa" w:w="100"/>
              <w:right w:type="dxa" w:w="120"/>
            </w:tcMar>
          </w:tcPr>
          <w:p>
            <w:r>
              <w:rPr>
                <w:b w:val="false"/>
                <w:bCs w:val="false"/>
                <w:color w:val="000000"/>
                <w:sz w:val="20"/>
                <w:szCs w:val="20"/>
              </w:rPr>
              <w:t xml:space="preserve">6. Paper Writing</w:t>
            </w:r>
          </w:p>
        </w:tc>
        <w:tc>
          <w:tcPr>
            <w:tcW w:type="dxa" w:w="1560"/>
            <w:tcMar>
              <w:top w:type="dxa" w:w="100"/>
              <w:left w:type="dxa" w:w="120"/>
              <w:bottom w:type="dxa" w:w="100"/>
              <w:right w:type="dxa" w:w="120"/>
            </w:tcMar>
          </w:tcPr>
          <w:p>
            <w:r>
              <w:rPr>
                <w:b w:val="false"/>
                <w:bCs w:val="false"/>
                <w:color w:val="000000"/>
                <w:sz w:val="20"/>
                <w:szCs w:val="20"/>
              </w:rPr>
              <w:t xml:space="preserve">10–14 (overlap)</w:t>
            </w:r>
          </w:p>
        </w:tc>
        <w:tc>
          <w:tcPr>
            <w:tcW w:type="dxa" w:w="5200"/>
            <w:tcMar>
              <w:top w:type="dxa" w:w="100"/>
              <w:left w:type="dxa" w:w="120"/>
              <w:bottom w:type="dxa" w:w="100"/>
              <w:right w:type="dxa" w:w="120"/>
            </w:tcMar>
          </w:tcPr>
          <w:p>
            <w:r>
              <w:rPr>
                <w:b w:val="false"/>
                <w:bCs w:val="false"/>
                <w:color w:val="000000"/>
                <w:sz w:val="20"/>
                <w:szCs w:val="20"/>
              </w:rPr>
              <w:t xml:space="preserve">Full draft complete, mentor-reviewed</w:t>
            </w:r>
          </w:p>
        </w:tc>
      </w:tr>
      <w:tr>
        <w:tc>
          <w:tcPr>
            <w:tcW w:type="dxa" w:w="2600"/>
            <w:tcMar>
              <w:top w:type="dxa" w:w="100"/>
              <w:left w:type="dxa" w:w="120"/>
              <w:bottom w:type="dxa" w:w="100"/>
              <w:right w:type="dxa" w:w="120"/>
            </w:tcMar>
          </w:tcPr>
          <w:p>
            <w:r>
              <w:rPr>
                <w:b w:val="false"/>
                <w:bCs w:val="false"/>
                <w:color w:val="000000"/>
                <w:sz w:val="20"/>
                <w:szCs w:val="20"/>
              </w:rPr>
              <w:t xml:space="preserve">7. Final Testing</w:t>
            </w:r>
          </w:p>
        </w:tc>
        <w:tc>
          <w:tcPr>
            <w:tcW w:type="dxa" w:w="1560"/>
            <w:tcMar>
              <w:top w:type="dxa" w:w="100"/>
              <w:left w:type="dxa" w:w="120"/>
              <w:bottom w:type="dxa" w:w="100"/>
              <w:right w:type="dxa" w:w="120"/>
            </w:tcMar>
          </w:tcPr>
          <w:p>
            <w:r>
              <w:rPr>
                <w:b w:val="false"/>
                <w:bCs w:val="false"/>
                <w:color w:val="000000"/>
                <w:sz w:val="20"/>
                <w:szCs w:val="20"/>
              </w:rPr>
              <w:t xml:space="preserve">15–16</w:t>
            </w:r>
          </w:p>
        </w:tc>
        <w:tc>
          <w:tcPr>
            <w:tcW w:type="dxa" w:w="5200"/>
            <w:tcMar>
              <w:top w:type="dxa" w:w="100"/>
              <w:left w:type="dxa" w:w="120"/>
              <w:bottom w:type="dxa" w:w="100"/>
              <w:right w:type="dxa" w:w="120"/>
            </w:tcMar>
          </w:tcPr>
          <w:p>
            <w:r>
              <w:rPr>
                <w:b w:val="false"/>
                <w:bCs w:val="false"/>
                <w:color w:val="000000"/>
                <w:sz w:val="20"/>
                <w:szCs w:val="20"/>
              </w:rPr>
              <w:t xml:space="preserve">Final prototype + final paper draft + presentation</w:t>
            </w:r>
          </w:p>
        </w:tc>
      </w:tr>
    </w:tbl>
    <w:p>
      <w:pPr>
        <w:spacing w:after="200"/>
      </w:pPr>
    </w:p>
    <w:p>
      <w:pPr>
        <w:pStyle w:val="Heading1"/>
        <w:spacing w:after="150" w:before="300"/>
      </w:pPr>
      <w:r>
        <w:t xml:space="preserve">7. Key Risks to Flag with Mentor</w:t>
      </w:r>
    </w:p>
    <w:p>
      <w:pPr>
        <w:pStyle w:val="ListParagraph"/>
        <w:numPr>
          <w:ilvl w:val="0"/>
          <w:numId w:val="2"/>
        </w:numPr>
        <w:spacing w:after="60"/>
      </w:pPr>
      <w:r>
        <w:t xml:space="preserve">MIMIC-III/IV credentialing can take days to weeks — needs to start immediately.</w:t>
      </w:r>
    </w:p>
    <w:p>
      <w:pPr>
        <w:pStyle w:val="ListParagraph"/>
        <w:numPr>
          <w:ilvl w:val="0"/>
          <w:numId w:val="2"/>
        </w:numPr>
        <w:spacing w:after="60"/>
      </w:pPr>
      <w:r>
        <w:t xml:space="preserve">Federated learning frameworks (Flower/PySyft) have real setup friction — may need extra time budgeted.</w:t>
      </w:r>
    </w:p>
    <w:p>
      <w:pPr>
        <w:pStyle w:val="ListParagraph"/>
        <w:numPr>
          <w:ilvl w:val="0"/>
          <w:numId w:val="2"/>
        </w:numPr>
        <w:spacing w:after="60"/>
      </w:pPr>
      <w:r>
        <w:t xml:space="preserve">Synthetic data realism (conversation logs, nutrition/exercise data) may be questioned by reviewers — need a clear justification approach (e.g., template-guided generation validated against clinical literature patterns).</w:t>
      </w:r>
    </w:p>
    <w:p>
      <w:pPr>
        <w:pStyle w:val="ListParagraph"/>
        <w:numPr>
          <w:ilvl w:val="0"/>
          <w:numId w:val="2"/>
        </w:numPr>
        <w:spacing w:after="60"/>
      </w:pPr>
      <w:r>
        <w:t xml:space="preserve">Scope creep risk on the doctor interface — should remain functional for the demo, not a design focus; the paper's rigor should sit in the FL/DP experiments, not the UI.</w:t>
      </w:r>
    </w:p>
    <w:p>
      <w:pPr>
        <w:pStyle w:val="ListParagraph"/>
        <w:numPr>
          <w:ilvl w:val="0"/>
          <w:numId w:val="2"/>
        </w:numPr>
        <w:spacing w:after="60"/>
      </w:pPr>
      <w:r>
        <w:t xml:space="preserve">Two-person team taking on both a full-stack prototype and a research paper is ambitious — timeline assumes disciplined parallel work and may need mentor guidance on trimming further if it proves too much.</w:t>
      </w:r>
    </w:p>
    <w:p>
      <w:pPr>
        <w:pStyle w:val="Heading1"/>
        <w:spacing w:after="150" w:before="300"/>
      </w:pPr>
      <w:r>
        <w:t xml:space="preserve">8. Open Questions for the Mentor</w:t>
      </w:r>
    </w:p>
    <w:p>
      <w:pPr>
        <w:pStyle w:val="ListParagraph"/>
        <w:numPr>
          <w:ilvl w:val="0"/>
          <w:numId w:val="2"/>
        </w:numPr>
        <w:spacing w:after="60"/>
      </w:pPr>
      <w:r>
        <w:t xml:space="preserve">Is the ward/hospital-network framing realistic and worth pursuing, or should the deployment scenario be broadened/narrowed?</w:t>
      </w:r>
    </w:p>
    <w:p>
      <w:pPr>
        <w:pStyle w:val="ListParagraph"/>
        <w:numPr>
          <w:ilvl w:val="0"/>
          <w:numId w:val="2"/>
        </w:numPr>
        <w:spacing w:after="60"/>
      </w:pPr>
      <w:r>
        <w:t xml:space="preserve">Is the privacy-utility tradeoff (DP + FL) angle a good fit for a target venue/journal in mind, or does the mentor have a different preferred contribution?</w:t>
      </w:r>
    </w:p>
    <w:p>
      <w:pPr>
        <w:pStyle w:val="ListParagraph"/>
        <w:numPr>
          <w:ilvl w:val="0"/>
          <w:numId w:val="2"/>
        </w:numPr>
        <w:spacing w:after="60"/>
      </w:pPr>
      <w:r>
        <w:t xml:space="preserve">Any existing institutional access to real (anonymized) hospital data, or should MIMIC + synthetic data remain the plan?</w:t>
      </w:r>
    </w:p>
    <w:p>
      <w:pPr>
        <w:pStyle w:val="ListParagraph"/>
        <w:numPr>
          <w:ilvl w:val="0"/>
          <w:numId w:val="2"/>
        </w:numPr>
        <w:spacing w:after="60"/>
      </w:pPr>
      <w:r>
        <w:t xml:space="preserve">Expected rigor/scale for the doctor-facing interface — is a functional demo sufficient, or is deeper clinical workflow integration expected?</w:t>
      </w:r>
    </w:p>
    <w:p>
      <w:pPr>
        <w:pStyle w:val="ListParagraph"/>
        <w:numPr>
          <w:ilvl w:val="0"/>
          <w:numId w:val="2"/>
        </w:numPr>
        <w:spacing w:after="60"/>
      </w:pPr>
      <w:r>
        <w:t xml:space="preserve">Target venue and deadline for the paper, to align the Week 10–14 writing phase against a real submission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2026-08-12T09:49:03.010Z</dcterms:created>
  <dcterms:modified xsi:type="dcterms:W3CDTF">2026-08-12T09:49:03.010Z</dcterms:modified>
</cp:coreProperties>
</file>

<file path=docProps/custom.xml><?xml version="1.0" encoding="utf-8"?>
<Properties xmlns="http://schemas.openxmlformats.org/officeDocument/2006/custom-properties" xmlns:vt="http://schemas.openxmlformats.org/officeDocument/2006/docPropsVTypes"/>
</file>