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5395"/>
          <w:sz w:val="22"/>
          <w:szCs w:val="22"/>
        </w:rPr>
        <w:t xml:space="preserve">NLP-06</w:t>
      </w:r>
    </w:p>
    <w:p>
      <w:pPr>
        <w:spacing w:after="60"/>
      </w:pPr>
      <w:r>
        <w:rPr>
          <w:b/>
          <w:bCs/>
          <w:color w:val="1B3A63"/>
          <w:sz w:val="34"/>
          <w:szCs w:val="34"/>
        </w:rPr>
        <w:t xml:space="preserve">Technical Execution Plan</w:t>
      </w:r>
    </w:p>
    <w:p>
      <w:pPr>
        <w:spacing w:after="40"/>
      </w:pPr>
      <w:r>
        <w:rPr>
          <w:color w:val="555555"/>
          <w:sz w:val="22"/>
          <w:szCs w:val="22"/>
        </w:rPr>
        <w:t xml:space="preserve">Privacy-Preserving Personalized Healthcare &amp; Wellness Assistant</w:t>
      </w:r>
    </w:p>
    <w:p>
      <w:pPr>
        <w:spacing w:after="160"/>
      </w:pPr>
      <w:r>
        <w:rPr>
          <w:i/>
          <w:iCs/>
          <w:color w:val="777777"/>
          <w:sz w:val="19"/>
          <w:szCs w:val="19"/>
        </w:rPr>
        <w:t xml:space="preserve">Phase-by-phase breakdown: what is built, what tools are used, and what each phase must produce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50" w:before="340"/>
      </w:pPr>
      <w:r>
        <w:t xml:space="preserve">1. How to Read This Document</w:t>
      </w:r>
    </w:p>
    <w:p>
      <w:pPr>
        <w:spacing w:after="120"/>
      </w:pPr>
      <w:r>
        <w:t xml:space="preserve">This is a technical execution plan, not a timeline — it is organized by phase, not by week, so it can be followed regardless of how the schedule shifts. Each phase specifies: the objective, the concrete technical tasks, the tools/technologies used for each task, the expected outcome (deliverable), and the exit criteria that confirm the phase is actually complete before moving on.</w:t>
      </w:r>
    </w:p>
    <w:p>
      <w:pPr>
        <w:spacing w:after="120"/>
      </w:pPr>
      <w:r>
        <w:t xml:space="preserve">The project runs two coordinated tracks throughout: the Product Track (local LLM, RAG, voice, patient/doctor interfaces — Person A) and the Research Track (federated learning, differential privacy, anomaly detection, experiments, paper — Person B). Each phase below notes which track(s) it involves.</w:t>
      </w:r>
    </w:p>
    <w:p>
      <w:pPr>
        <w:shd w:fill="EAF0FA" w:val="clear"/>
        <w:spacing w:after="140" w:before="300"/>
      </w:pPr>
      <w:r>
        <w:rPr>
          <w:b/>
          <w:bCs/>
          <w:color w:val="1B3A63"/>
          <w:sz w:val="26"/>
          <w:szCs w:val="26"/>
        </w:rPr>
        <w:t xml:space="preserve">Phase 1: </w:t>
      </w:r>
      <w:r>
        <w:rPr>
          <w:b/>
          <w:bCs/>
          <w:color w:val="1B3A63"/>
          <w:sz w:val="26"/>
          <w:szCs w:val="26"/>
        </w:rPr>
        <w:t xml:space="preserve">Foundation &amp; Setup</w:t>
      </w:r>
      <w:r>
        <w:rPr>
          <w:i/>
          <w:iCs/>
          <w:color w:val="777777"/>
          <w:sz w:val="19"/>
          <w:szCs w:val="19"/>
        </w:rPr>
        <w:t xml:space="preserve">   [Both]</w:t>
      </w:r>
    </w:p>
    <w:p>
      <w:pPr>
        <w:pStyle w:val="Heading3"/>
        <w:spacing w:after="80" w:before="160"/>
      </w:pPr>
      <w:r>
        <w:t xml:space="preserve">Objective</w:t>
      </w:r>
    </w:p>
    <w:p>
      <w:pPr>
        <w:spacing w:after="120"/>
      </w:pPr>
      <w:r>
        <w:t xml:space="preserve">Establish the architecture, environment, and data access strategy before any feature work begins.</w:t>
      </w:r>
    </w:p>
    <w:p>
      <w:pPr>
        <w:pStyle w:val="Heading3"/>
        <w:spacing w:after="80" w:before="160"/>
      </w:pPr>
      <w:r>
        <w:t xml:space="preserve">Technical Tasks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Architecture design: </w:t>
      </w:r>
      <w:r>
        <w:t xml:space="preserve">finalize the two-track system architecture (Product Track + Research Track) and document data flow between them.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Environment setup: </w:t>
      </w:r>
      <w:r>
        <w:t xml:space="preserve">set up Python environments, GitHub repo with branch strategy, dependency management (requirements.txt / poetry).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Local LLM proof of concept: </w:t>
      </w:r>
      <w:r>
        <w:t xml:space="preserve">install Ollama, pull Llama 3.1 8B and Mistral 7B, run basic inference to benchmark latency/memory on available hardware (GPU/CPU).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Data access: </w:t>
      </w:r>
      <w:r>
        <w:t xml:space="preserve">submit MIMIC-III/IV credentialing application (CITI training + data use agreement); in parallel, install and test Synthea to confirm the backup data path works end-to-end.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Literature grounding: </w:t>
      </w:r>
      <w:r>
        <w:t xml:space="preserve">read and annotate base papers b1-b5; draft a related-work outline positioning NLP-06's gap.</w:t>
      </w:r>
    </w:p>
    <w:p>
      <w:pPr>
        <w:pStyle w:val="Heading3"/>
        <w:spacing w:after="80" w:before="160"/>
      </w:pPr>
      <w:r>
        <w:t xml:space="preserve">Tools &amp; Technologies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2E539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6160"/>
            <w:shd w:fill="2E539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Tool / Technology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Local LLM runtime</w:t>
            </w:r>
          </w:p>
        </w:tc>
        <w:tc>
          <w:tcPr>
            <w:tcW w:type="dxa" w:w="61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Ollama (or llama.cpp)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 weights</w:t>
            </w:r>
          </w:p>
        </w:tc>
        <w:tc>
          <w:tcPr>
            <w:tcW w:type="dxa" w:w="61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Llama 3.1 8B, Mistral 7B (quantized, e.g. GGUF format)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Version control</w:t>
            </w:r>
          </w:p>
        </w:tc>
        <w:tc>
          <w:tcPr>
            <w:tcW w:type="dxa" w:w="61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Git + GitHub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Environment management</w:t>
            </w:r>
          </w:p>
        </w:tc>
        <w:tc>
          <w:tcPr>
            <w:tcW w:type="dxa" w:w="61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Python venv or Conda, pip / poetry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Synthetic data generator</w:t>
            </w:r>
          </w:p>
        </w:tc>
        <w:tc>
          <w:tcPr>
            <w:tcW w:type="dxa" w:w="61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Synthea (Java-based, runs locally)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Real clinical data (pending)</w:t>
            </w:r>
          </w:p>
        </w:tc>
        <w:tc>
          <w:tcPr>
            <w:tcW w:type="dxa" w:w="61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MIMIC-III / MIMIC-IV via PhysioNet credentialing</w:t>
            </w:r>
          </w:p>
        </w:tc>
      </w:tr>
    </w:tbl>
    <w:p>
      <w:pPr>
        <w:spacing w:after="160"/>
      </w:pPr>
    </w:p>
    <w:p>
      <w:pPr>
        <w:pStyle w:val="Heading3"/>
        <w:spacing w:after="80" w:before="160"/>
      </w:pPr>
      <w:r>
        <w:t xml:space="preserve">Expected Outcome</w:t>
      </w:r>
    </w:p>
    <w:p>
      <w:pPr>
        <w:spacing w:after="120"/>
      </w:pPr>
      <w:r>
        <w:t xml:space="preserve">A documented system architecture, a working local LLM that can answer a basic prompt end-to-end on target hardware, a confirmed data strategy (MIMIC application submitted + Synthea working as fallback), and a related-work outline grounding the paper's positioning.</w:t>
      </w:r>
    </w:p>
    <w:p>
      <w:pPr>
        <w:pStyle w:val="Heading3"/>
        <w:spacing w:after="80" w:before="160"/>
      </w:pPr>
      <w:r>
        <w:t xml:space="preserve">Exit Criteria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Architecture diagram reviewed and agreed by both team members.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Local LLM responds to a test prompt with acceptable latency on target hardware.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Synthea successfully generates a sample patient population locally.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MIMIC application submitted (not necessarily approved yet).</w:t>
      </w:r>
    </w:p>
    <w:p>
      <w:pPr>
        <w:shd w:fill="EAF0FA" w:val="clear"/>
        <w:spacing w:after="140" w:before="300"/>
      </w:pPr>
      <w:r>
        <w:rPr>
          <w:b/>
          <w:bCs/>
          <w:color w:val="1B3A63"/>
          <w:sz w:val="26"/>
          <w:szCs w:val="26"/>
        </w:rPr>
        <w:t xml:space="preserve">Phase 2: </w:t>
      </w:r>
      <w:r>
        <w:rPr>
          <w:b/>
          <w:bCs/>
          <w:color w:val="1B3A63"/>
          <w:sz w:val="26"/>
          <w:szCs w:val="26"/>
        </w:rPr>
        <w:t xml:space="preserve">Data Pipeline</w:t>
      </w:r>
      <w:r>
        <w:rPr>
          <w:i/>
          <w:iCs/>
          <w:color w:val="777777"/>
          <w:sz w:val="19"/>
          <w:szCs w:val="19"/>
        </w:rPr>
        <w:t xml:space="preserve">   [Both]</w:t>
      </w:r>
    </w:p>
    <w:p>
      <w:pPr>
        <w:pStyle w:val="Heading3"/>
        <w:spacing w:after="80" w:before="160"/>
      </w:pPr>
      <w:r>
        <w:t xml:space="preserve">Objective</w:t>
      </w:r>
    </w:p>
    <w:p>
      <w:pPr>
        <w:spacing w:after="120"/>
      </w:pPr>
      <w:r>
        <w:t xml:space="preserve">Produce a unified, per-patient dataset — combining real/synthetic vitals and labs with generated conversational and lifestyle data — structured for both the RAG layer and the federated anomaly detector.</w:t>
      </w:r>
    </w:p>
    <w:p>
      <w:pPr>
        <w:pStyle w:val="Heading3"/>
        <w:spacing w:after="80" w:before="160"/>
      </w:pPr>
      <w:r>
        <w:t xml:space="preserve">Technical Tasks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Feature extraction: </w:t>
      </w:r>
      <w:r>
        <w:t xml:space="preserve">extract relevant vitals, lab values, and timestamps from MIMIC (or Synthea) for a defined patient cohort.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Synthetic supplementary data: </w:t>
      </w:r>
      <w:r>
        <w:t xml:space="preserve">use an LLM to generate plausible conversation logs, nutrition/calorie logs, and exercise logs per patient, following clinical templates for realism.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Ward simulation design: </w:t>
      </w:r>
      <w:r>
        <w:t xml:space="preserve">partition the patient cohort into simulated ward nodes; optionally skew population characteristics per ward (age, condition type) to create realistic non-IID heterogeneity for the FL experiments.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Schema design: </w:t>
      </w:r>
      <w:r>
        <w:t xml:space="preserve">define the per-patient record schema (structured fields + free text) to be stored in the encrypted database and indexed for retrieval.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Embedding pipeline: </w:t>
      </w:r>
      <w:r>
        <w:t xml:space="preserve">chunk and embed patient records for the vector database, tagged with Patient_ID metadata for strict retrieval filtering.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Encryption setup: </w:t>
      </w:r>
      <w:r>
        <w:t xml:space="preserve">implement AES encryption at rest for the local database.</w:t>
      </w:r>
    </w:p>
    <w:p>
      <w:pPr>
        <w:pStyle w:val="Heading3"/>
        <w:spacing w:after="80" w:before="160"/>
      </w:pPr>
      <w:r>
        <w:t xml:space="preserve">Tools &amp; Technologies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shd w:fill="2E539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5960"/>
            <w:shd w:fill="2E539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Tool / Technology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 extraction / processing</w:t>
            </w:r>
          </w:p>
        </w:tc>
        <w:tc>
          <w:tcPr>
            <w:tcW w:type="dxa" w:w="59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Python (pandas, numpy)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Synthetic clinical records</w:t>
            </w:r>
          </w:p>
        </w:tc>
        <w:tc>
          <w:tcPr>
            <w:tcW w:type="dxa" w:w="59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Synthea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Synthetic conversation / lifestyle logs</w:t>
            </w:r>
          </w:p>
        </w:tc>
        <w:tc>
          <w:tcPr>
            <w:tcW w:type="dxa" w:w="59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Local LLM (Llama/Mistral) with structured prompt templates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Vector database</w:t>
            </w:r>
          </w:p>
        </w:tc>
        <w:tc>
          <w:tcPr>
            <w:tcW w:type="dxa" w:w="59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pgvector (Postgres extension) or ChromaDB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Embeddings model</w:t>
            </w:r>
          </w:p>
        </w:tc>
        <w:tc>
          <w:tcPr>
            <w:tcW w:type="dxa" w:w="59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local sentence-embedding model (e.g., a small BGE or MiniLM variant)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Encrypted storage</w:t>
            </w:r>
          </w:p>
        </w:tc>
        <w:tc>
          <w:tcPr>
            <w:tcW w:type="dxa" w:w="59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SQLite/PostgreSQL with AES-256 at rest</w:t>
            </w:r>
          </w:p>
        </w:tc>
      </w:tr>
    </w:tbl>
    <w:p>
      <w:pPr>
        <w:spacing w:after="160"/>
      </w:pPr>
    </w:p>
    <w:p>
      <w:pPr>
        <w:pStyle w:val="Heading3"/>
        <w:spacing w:after="80" w:before="160"/>
      </w:pPr>
      <w:r>
        <w:t xml:space="preserve">Expected Outcome</w:t>
      </w:r>
    </w:p>
    <w:p>
      <w:pPr>
        <w:spacing w:after="120"/>
      </w:pPr>
      <w:r>
        <w:t xml:space="preserve">A structured, per-patient dataset combining real/synthetic vitals and labs with synthetic conversation, nutrition, and exercise logs; patients partitioned into simulated ward nodes; all data embedded and encrypted, ready to be queried by RAG and consumed by the FL training pipeline.</w:t>
      </w:r>
    </w:p>
    <w:p>
      <w:pPr>
        <w:pStyle w:val="Heading3"/>
        <w:spacing w:after="80" w:before="160"/>
      </w:pPr>
      <w:r>
        <w:t xml:space="preserve">Exit Criteria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A sample of at least a few dozen synthetic/real patients is fully populated across all data types (vitals, labs, conversation, nutrition, exercise).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Ward partitioning is defined and reproducible.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A test query against the vector database returns correctly filtered, patient-scoped results.</w:t>
      </w:r>
    </w:p>
    <w:p>
      <w:pPr>
        <w:shd w:fill="EAF0FA" w:val="clear"/>
        <w:spacing w:after="140" w:before="300"/>
      </w:pPr>
      <w:r>
        <w:rPr>
          <w:b/>
          <w:bCs/>
          <w:color w:val="1B3A63"/>
          <w:sz w:val="26"/>
          <w:szCs w:val="26"/>
        </w:rPr>
        <w:t xml:space="preserve">Phase 3: </w:t>
      </w:r>
      <w:r>
        <w:rPr>
          <w:b/>
          <w:bCs/>
          <w:color w:val="1B3A63"/>
          <w:sz w:val="26"/>
          <w:szCs w:val="26"/>
        </w:rPr>
        <w:t xml:space="preserve">Parallel Build</w:t>
      </w:r>
      <w:r>
        <w:rPr>
          <w:i/>
          <w:iCs/>
          <w:color w:val="777777"/>
          <w:sz w:val="19"/>
          <w:szCs w:val="19"/>
        </w:rPr>
        <w:t xml:space="preserve">   [Both, split by track]</w:t>
      </w:r>
    </w:p>
    <w:p>
      <w:pPr>
        <w:pStyle w:val="Heading3"/>
        <w:spacing w:after="80" w:before="160"/>
      </w:pPr>
      <w:r>
        <w:t xml:space="preserve">Objective</w:t>
      </w:r>
    </w:p>
    <w:p>
      <w:pPr>
        <w:spacing w:after="120"/>
      </w:pPr>
      <w:r>
        <w:t xml:space="preserve">Build the two core system components in parallel: the Product Track (LLM assistant, RAG, voice, interfaces) and the Research Track (federated, differentially private anomaly detector).</w:t>
      </w:r>
    </w:p>
    <w:p>
      <w:pPr>
        <w:pStyle w:val="Heading3"/>
        <w:spacing w:after="80" w:before="160"/>
      </w:pPr>
      <w:r>
        <w:t xml:space="preserve">3A. Product Track — LLM, RAG &amp; Voice (Person A)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RAG retrieval layer: </w:t>
      </w:r>
      <w:r>
        <w:t xml:space="preserve">implement semantic search over the patient-scoped vector database; retrieve top-k relevant records for a given query.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Prompt construction: </w:t>
      </w:r>
      <w:r>
        <w:t xml:space="preserve">assemble retrieved context + patient question into a grounded prompt template for the local LLM.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Conversational interface: </w:t>
      </w:r>
      <w:r>
        <w:t xml:space="preserve">build the patient-facing chat UI (text input/output).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Voice pipeline: </w:t>
      </w:r>
      <w:r>
        <w:t xml:space="preserve">integrate local ASR (quantized Whisper / faster-whisper) for speech-to-text input, and a local TTS engine (e.g., Piper or Coqui TTS) for audio output — wired into the same RAG/LLM pipeline as text.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Lab report summarization: </w:t>
      </w:r>
      <w:r>
        <w:t xml:space="preserve">build ingestion for lab report text/PDF, summarized into plain language via the LLM.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Logging features: </w:t>
      </w:r>
      <w:r>
        <w:t xml:space="preserve">meal/exercise logging forms feeding into the patient's structured record.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Reminders: </w:t>
      </w:r>
      <w:r>
        <w:t xml:space="preserve">simple scheduled-reminder logic for medication, meals, exercise, follow-ups.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Doctor interface (initial): </w:t>
      </w:r>
      <w:r>
        <w:t xml:space="preserve">build patient-summary query view and conversation log review.</w:t>
      </w:r>
    </w:p>
    <w:p>
      <w:pPr>
        <w:pStyle w:val="Heading3"/>
        <w:spacing w:after="80" w:before="160"/>
      </w:pPr>
      <w:r>
        <w:t xml:space="preserve">Tools &amp; Technologies (Product Track)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shd w:fill="2E539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5960"/>
            <w:shd w:fill="2E539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Tool / Technology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59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FastAPI (Python)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Frontend</w:t>
            </w:r>
          </w:p>
        </w:tc>
        <w:tc>
          <w:tcPr>
            <w:tcW w:type="dxa" w:w="59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Streamlit (fast prototyping) or React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RAG orchestration</w:t>
            </w:r>
          </w:p>
        </w:tc>
        <w:tc>
          <w:tcPr>
            <w:tcW w:type="dxa" w:w="59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LangChain or a custom lightweight retrieval layer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Speech-to-text (ASR)</w:t>
            </w:r>
          </w:p>
        </w:tc>
        <w:tc>
          <w:tcPr>
            <w:tcW w:type="dxa" w:w="59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Whisper (quantized) via whisper.cpp / faster-whisper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Text-to-speech (TTS)</w:t>
            </w:r>
          </w:p>
        </w:tc>
        <w:tc>
          <w:tcPr>
            <w:tcW w:type="dxa" w:w="59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Piper or Coqui TTS (offline)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PDF/text parsing for lab reports</w:t>
            </w:r>
          </w:p>
        </w:tc>
        <w:tc>
          <w:tcPr>
            <w:tcW w:type="dxa" w:w="59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PyPDF2 / pdfplumber</w:t>
            </w:r>
          </w:p>
        </w:tc>
      </w:tr>
    </w:tbl>
    <w:p>
      <w:pPr>
        <w:spacing w:after="160"/>
      </w:pPr>
    </w:p>
    <w:p>
      <w:pPr>
        <w:pStyle w:val="Heading3"/>
        <w:spacing w:after="80" w:before="160"/>
      </w:pPr>
      <w:r>
        <w:t xml:space="preserve">3B. Research Track — FL + DP Anomaly Detector (Person B)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Baseline model: </w:t>
      </w:r>
      <w:r>
        <w:t xml:space="preserve">implement a non-federated anomaly/risk classifier first (LSTM/GRU, with a CNN baseline for comparison) to establish a performance ceiling.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Federated setup: </w:t>
      </w:r>
      <w:r>
        <w:t xml:space="preserve">wrap the model training loop in a federated framework, simulating multiple ward-node clients and a central aggregator (FedAvg).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Differential privacy integration: </w:t>
      </w:r>
      <w:r>
        <w:t xml:space="preserve">apply DP-SGD (gradient clipping + Gaussian noise) to local training via Opacus, with the privacy budget epsilon as a configurable parameter.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Privacy accounting: </w:t>
      </w:r>
      <w:r>
        <w:t xml:space="preserve">implement the Moments Accountant / Rényi DP accounting to track cumulative privacy loss tightly across training rounds.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Sanity checks: </w:t>
      </w:r>
      <w:r>
        <w:t xml:space="preserve">confirm the federated loop converges, and that increasing DP noise measurably (and sensibly) degrades accuracy before running full experiments.</w:t>
      </w:r>
    </w:p>
    <w:p>
      <w:pPr>
        <w:pStyle w:val="Heading3"/>
        <w:spacing w:after="80" w:before="160"/>
      </w:pPr>
      <w:r>
        <w:t xml:space="preserve">Tools &amp; Technologies (Research Track)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shd w:fill="2E539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5960"/>
            <w:shd w:fill="2E539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Tool / Technology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 framework</w:t>
            </w:r>
          </w:p>
        </w:tc>
        <w:tc>
          <w:tcPr>
            <w:tcW w:type="dxa" w:w="59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PyTorch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Sequence models</w:t>
            </w:r>
          </w:p>
        </w:tc>
        <w:tc>
          <w:tcPr>
            <w:tcW w:type="dxa" w:w="59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LSTM / GRU (primary), CNN (baseline)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Federated learning orchestration</w:t>
            </w:r>
          </w:p>
        </w:tc>
        <w:tc>
          <w:tcPr>
            <w:tcW w:type="dxa" w:w="59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Flower (flwr)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Differential privacy (DP-SGD)</w:t>
            </w:r>
          </w:p>
        </w:tc>
        <w:tc>
          <w:tcPr>
            <w:tcW w:type="dxa" w:w="59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Opacus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Privacy accounting</w:t>
            </w:r>
          </w:p>
        </w:tc>
        <w:tc>
          <w:tcPr>
            <w:tcW w:type="dxa" w:w="59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Moments Accountant / Rényi DP (via Opacus's built-in accountant)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Experiment tracking</w:t>
            </w:r>
          </w:p>
        </w:tc>
        <w:tc>
          <w:tcPr>
            <w:tcW w:type="dxa" w:w="59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Weights &amp; Biases or simple CSV/logging</w:t>
            </w:r>
          </w:p>
        </w:tc>
      </w:tr>
    </w:tbl>
    <w:p>
      <w:pPr>
        <w:spacing w:after="160"/>
      </w:pPr>
    </w:p>
    <w:p>
      <w:pPr>
        <w:pStyle w:val="Heading3"/>
        <w:spacing w:after="80" w:before="160"/>
      </w:pPr>
      <w:r>
        <w:t xml:space="preserve">Expected Outcome</w:t>
      </w:r>
    </w:p>
    <w:p>
      <w:pPr>
        <w:spacing w:after="120"/>
      </w:pPr>
      <w:r>
        <w:t xml:space="preserve">A patient-facing assistant (text + voice) that answers questions grounded in the patient's own record, plus a working federated, differentially private anomaly detector that trains across simulated ward nodes and produces sensible baseline risk scores.</w:t>
      </w:r>
    </w:p>
    <w:p>
      <w:pPr>
        <w:pStyle w:val="Heading3"/>
        <w:spacing w:after="80" w:before="160"/>
      </w:pPr>
      <w:r>
        <w:t xml:space="preserve">Exit Criteria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Product Track: a patient can ask a question by text or voice and receive a grounded, spoken or written answer referencing their own data.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Research Track: the FL+DP training loop runs end-to-end across simulated wards and converges to a usable baseline model.</w:t>
      </w:r>
    </w:p>
    <w:p>
      <w:pPr>
        <w:shd w:fill="EAF0FA" w:val="clear"/>
        <w:spacing w:after="140" w:before="300"/>
      </w:pPr>
      <w:r>
        <w:rPr>
          <w:b/>
          <w:bCs/>
          <w:color w:val="1B3A63"/>
          <w:sz w:val="26"/>
          <w:szCs w:val="26"/>
        </w:rPr>
        <w:t xml:space="preserve">Phase 4: </w:t>
      </w:r>
      <w:r>
        <w:rPr>
          <w:b/>
          <w:bCs/>
          <w:color w:val="1B3A63"/>
          <w:sz w:val="26"/>
          <w:szCs w:val="26"/>
        </w:rPr>
        <w:t xml:space="preserve">Experiments</w:t>
      </w:r>
      <w:r>
        <w:rPr>
          <w:i/>
          <w:iCs/>
          <w:color w:val="777777"/>
          <w:sz w:val="19"/>
          <w:szCs w:val="19"/>
        </w:rPr>
        <w:t xml:space="preserve">   [Research Track lead, Product Track supports]</w:t>
      </w:r>
    </w:p>
    <w:p>
      <w:pPr>
        <w:pStyle w:val="Heading3"/>
        <w:spacing w:after="80" w:before="160"/>
      </w:pPr>
      <w:r>
        <w:t xml:space="preserve">Objective</w:t>
      </w:r>
    </w:p>
    <w:p>
      <w:pPr>
        <w:spacing w:after="120"/>
      </w:pPr>
      <w:r>
        <w:t xml:space="preserve">Run the core research experiments that produce the paper's results, and connect the anomaly model's live output into the prototype's alert system.</w:t>
      </w:r>
    </w:p>
    <w:p>
      <w:pPr>
        <w:pStyle w:val="Heading3"/>
        <w:spacing w:after="80" w:before="160"/>
      </w:pPr>
      <w:r>
        <w:t xml:space="preserve">Technical Tasks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Epsilon sweep: </w:t>
      </w:r>
      <w:r>
        <w:t xml:space="preserve">train the federated anomaly detector at multiple privacy budgets (e.g., epsilon = 0.5, 1, 2, 4, 8, no-DP baseline), recording F1, precision, recall, and AUC at each level.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Architecture comparison: </w:t>
      </w:r>
      <w:r>
        <w:t xml:space="preserve">run the same epsilon sweep for LSTM/GRU vs CNN to test the robustness-to-noise hypothesis (Contribution 2).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Heterogeneity experiments (if time allows): </w:t>
      </w:r>
      <w:r>
        <w:t xml:space="preserve">vary non-IID skew across simulated wards and measure impact on federated convergence and accuracy.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Statistical rigor: </w:t>
      </w:r>
      <w:r>
        <w:t xml:space="preserve">repeat key runs across multiple random seeds; report mean and variance, not single-run numbers.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Figure generation: </w:t>
      </w:r>
      <w:r>
        <w:t xml:space="preserve">produce the privacy-utility tradeoff curves and comparison plots for the paper.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Live alert wiring: </w:t>
      </w:r>
      <w:r>
        <w:t xml:space="preserve">connect the trained anomaly model's inference output to the doctor-facing alert dashboard in the prototype.</w:t>
      </w:r>
    </w:p>
    <w:p>
      <w:pPr>
        <w:pStyle w:val="Heading3"/>
        <w:spacing w:after="80" w:before="160"/>
      </w:pPr>
      <w:r>
        <w:t xml:space="preserve">Tools &amp; Technologies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shd w:fill="2E539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5960"/>
            <w:shd w:fill="2E539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Tool / Technology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Experiment orchestration</w:t>
            </w:r>
          </w:p>
        </w:tc>
        <w:tc>
          <w:tcPr>
            <w:tcW w:type="dxa" w:w="59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Python scripts / notebooks, Flower + Opacus from Phase 3B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Statistical analysis</w:t>
            </w:r>
          </w:p>
        </w:tc>
        <w:tc>
          <w:tcPr>
            <w:tcW w:type="dxa" w:w="59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scikit-learn (metrics), scipy (significance testing)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Plotting</w:t>
            </w:r>
          </w:p>
        </w:tc>
        <w:tc>
          <w:tcPr>
            <w:tcW w:type="dxa" w:w="59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Matplotlib / Seaborn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Dashboard integration</w:t>
            </w:r>
          </w:p>
        </w:tc>
        <w:tc>
          <w:tcPr>
            <w:tcW w:type="dxa" w:w="59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FastAPI backend serving live model inference to the doctor UI</w:t>
            </w:r>
          </w:p>
        </w:tc>
      </w:tr>
    </w:tbl>
    <w:p>
      <w:pPr>
        <w:spacing w:after="160"/>
      </w:pPr>
    </w:p>
    <w:p>
      <w:pPr>
        <w:pStyle w:val="Heading3"/>
        <w:spacing w:after="80" w:before="160"/>
      </w:pPr>
      <w:r>
        <w:t xml:space="preserve">Expected Outcome</w:t>
      </w:r>
    </w:p>
    <w:p>
      <w:pPr>
        <w:spacing w:after="120"/>
      </w:pPr>
      <w:r>
        <w:t xml:space="preserve">A complete set of experimental results: epsilon-vs-performance tradeoff curves, an LSTM/GRU-vs-CNN robustness comparison, and (optionally) heterogeneity results — all with proper statistical treatment, ready to be written up. The doctor dashboard in the running prototype shows live, model-generated alerts.</w:t>
      </w:r>
    </w:p>
    <w:p>
      <w:pPr>
        <w:pStyle w:val="Heading3"/>
        <w:spacing w:after="80" w:before="160"/>
      </w:pPr>
      <w:r>
        <w:t xml:space="preserve">Exit Criteria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Tradeoff curves are generated and show a plausible, explainable pattern (accuracy degrades as epsilon decreases).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Results are reproducible across at least 3 random seeds.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The doctor dashboard displays real alerts sourced from the trained model, not placeholder data.</w:t>
      </w:r>
    </w:p>
    <w:p>
      <w:pPr>
        <w:shd w:fill="EAF0FA" w:val="clear"/>
        <w:spacing w:after="140" w:before="300"/>
      </w:pPr>
      <w:r>
        <w:rPr>
          <w:b/>
          <w:bCs/>
          <w:color w:val="1B3A63"/>
          <w:sz w:val="26"/>
          <w:szCs w:val="26"/>
        </w:rPr>
        <w:t xml:space="preserve">Phase 5: </w:t>
      </w:r>
      <w:r>
        <w:rPr>
          <w:b/>
          <w:bCs/>
          <w:color w:val="1B3A63"/>
          <w:sz w:val="26"/>
          <w:szCs w:val="26"/>
        </w:rPr>
        <w:t xml:space="preserve">Integration</w:t>
      </w:r>
      <w:r>
        <w:rPr>
          <w:i/>
          <w:iCs/>
          <w:color w:val="777777"/>
          <w:sz w:val="19"/>
          <w:szCs w:val="19"/>
        </w:rPr>
        <w:t xml:space="preserve">   [Both]</w:t>
      </w:r>
    </w:p>
    <w:p>
      <w:pPr>
        <w:pStyle w:val="Heading3"/>
        <w:spacing w:after="80" w:before="160"/>
      </w:pPr>
      <w:r>
        <w:t xml:space="preserve">Objective</w:t>
      </w:r>
    </w:p>
    <w:p>
      <w:pPr>
        <w:spacing w:after="120"/>
      </w:pPr>
      <w:r>
        <w:t xml:space="preserve">Merge the Product Track and Research Track into a single, coherent, end-to-end system and verify the privacy design holds under real use.</w:t>
      </w:r>
    </w:p>
    <w:p>
      <w:pPr>
        <w:pStyle w:val="Heading3"/>
        <w:spacing w:after="80" w:before="160"/>
      </w:pPr>
      <w:r>
        <w:t xml:space="preserve">Technical Tasks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System merge: </w:t>
      </w:r>
      <w:r>
        <w:t xml:space="preserve">combine the patient assistant, doctor dashboard, and FL/DP pipeline into one deployable application.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End-to-end flow test: </w:t>
      </w:r>
      <w:r>
        <w:t xml:space="preserve">patient logs data -&gt; assistant answers via RAG -&gt; anomaly model scores data -&gt; doctor dashboard shows alert -&gt; doctor queries RAG for a summary.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Privacy audit: </w:t>
      </w:r>
      <w:r>
        <w:t xml:space="preserve">confirm no patient data or raw gradients leave the local/simulated ward network at any point; verify encryption at rest is functioning.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Usability pass: </w:t>
      </w:r>
      <w:r>
        <w:t xml:space="preserve">basic UI polish on both interfaces; fix obvious friction points found during end-to-end testing.</w:t>
      </w:r>
    </w:p>
    <w:p>
      <w:pPr>
        <w:pStyle w:val="Heading3"/>
        <w:spacing w:after="80" w:before="160"/>
      </w:pPr>
      <w:r>
        <w:t xml:space="preserve">Tools &amp; Technologies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shd w:fill="2E539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5960"/>
            <w:shd w:fill="2E539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Tool / Technology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Integration testing</w:t>
            </w:r>
          </w:p>
        </w:tc>
        <w:tc>
          <w:tcPr>
            <w:tcW w:type="dxa" w:w="59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Manual end-to-end test scripts + pytest for backend components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Network/privacy verification</w:t>
            </w:r>
          </w:p>
        </w:tc>
        <w:tc>
          <w:tcPr>
            <w:tcW w:type="dxa" w:w="59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Manual traffic inspection (confirm no external calls); encryption checks on stored files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Deployment packaging</w:t>
            </w:r>
          </w:p>
        </w:tc>
        <w:tc>
          <w:tcPr>
            <w:tcW w:type="dxa" w:w="59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Docker (optional, for reproducible local deployment)</w:t>
            </w:r>
          </w:p>
        </w:tc>
      </w:tr>
    </w:tbl>
    <w:p>
      <w:pPr>
        <w:spacing w:after="160"/>
      </w:pPr>
    </w:p>
    <w:p>
      <w:pPr>
        <w:pStyle w:val="Heading3"/>
        <w:spacing w:after="80" w:before="160"/>
      </w:pPr>
      <w:r>
        <w:t xml:space="preserve">Expected Outcome</w:t>
      </w:r>
    </w:p>
    <w:p>
      <w:pPr>
        <w:spacing w:after="120"/>
      </w:pPr>
      <w:r>
        <w:t xml:space="preserve">A fully integrated, demo-ready prototype where a simulated patient interaction produces a grounded assistant response, feeds the anomaly detector, and — when appropriate — raises a doctor alert, all without any data leaving the local system.</w:t>
      </w:r>
    </w:p>
    <w:p>
      <w:pPr>
        <w:pStyle w:val="Heading3"/>
        <w:spacing w:after="80" w:before="160"/>
      </w:pPr>
      <w:r>
        <w:t xml:space="preserve">Exit Criteria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A full walkthrough (patient query -&gt; response, abnormal data -&gt; alert -&gt; doctor review) runs without manual intervention.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Privacy audit finds no unintended data egress.</w:t>
      </w:r>
    </w:p>
    <w:p>
      <w:pPr>
        <w:shd w:fill="EAF0FA" w:val="clear"/>
        <w:spacing w:after="140" w:before="300"/>
      </w:pPr>
      <w:r>
        <w:rPr>
          <w:b/>
          <w:bCs/>
          <w:color w:val="1B3A63"/>
          <w:sz w:val="26"/>
          <w:szCs w:val="26"/>
        </w:rPr>
        <w:t xml:space="preserve">Phase 6: </w:t>
      </w:r>
      <w:r>
        <w:rPr>
          <w:b/>
          <w:bCs/>
          <w:color w:val="1B3A63"/>
          <w:sz w:val="26"/>
          <w:szCs w:val="26"/>
        </w:rPr>
        <w:t xml:space="preserve">Paper Writing</w:t>
      </w:r>
      <w:r>
        <w:rPr>
          <w:i/>
          <w:iCs/>
          <w:color w:val="777777"/>
          <w:sz w:val="19"/>
          <w:szCs w:val="19"/>
        </w:rPr>
        <w:t xml:space="preserve">   [Person B lead, Person A supports]</w:t>
      </w:r>
    </w:p>
    <w:p>
      <w:pPr>
        <w:pStyle w:val="Heading3"/>
        <w:spacing w:after="80" w:before="160"/>
      </w:pPr>
      <w:r>
        <w:t xml:space="preserve">Objective</w:t>
      </w:r>
    </w:p>
    <w:p>
      <w:pPr>
        <w:spacing w:after="120"/>
      </w:pPr>
      <w:r>
        <w:t xml:space="preserve">Produce a complete, mentor-reviewed draft of the research paper built around the experimental results.</w:t>
      </w:r>
    </w:p>
    <w:p>
      <w:pPr>
        <w:pStyle w:val="Heading3"/>
        <w:spacing w:after="80" w:before="160"/>
      </w:pPr>
      <w:r>
        <w:t xml:space="preserve">Technical Tasks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Methodology section: </w:t>
      </w:r>
      <w:r>
        <w:t xml:space="preserve">document the system architecture, FL+DP setup, model choices, and privacy accounting method precisely enough to be reproducible.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Results section: </w:t>
      </w:r>
      <w:r>
        <w:t xml:space="preserve">write up the epsilon sweep, architecture comparison, and (if run) heterogeneity results with figures and tables.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Related work: </w:t>
      </w:r>
      <w:r>
        <w:t xml:space="preserve">position the paper against b1-b5 and the identified literature gap.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Introduction &amp; discussion: </w:t>
      </w:r>
      <w:r>
        <w:t xml:space="preserve">motivate the ward-based scenario, state contributions clearly, discuss limitations (synthetic data, simulated federation, single-institution assumption).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Internal + mentor review: </w:t>
      </w:r>
      <w:r>
        <w:t xml:space="preserve">circulate the draft for feedback and revise.</w:t>
      </w:r>
    </w:p>
    <w:p>
      <w:pPr>
        <w:pStyle w:val="Heading3"/>
        <w:spacing w:after="80" w:before="160"/>
      </w:pPr>
      <w:r>
        <w:t xml:space="preserve">Tools &amp; Technologies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shd w:fill="2E539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5960"/>
            <w:shd w:fill="2E539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Tool / Technology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Writing / typesetting</w:t>
            </w:r>
          </w:p>
        </w:tc>
        <w:tc>
          <w:tcPr>
            <w:tcW w:type="dxa" w:w="59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LaTeX (Overleaf) or Word, per target venue's template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Reference management</w:t>
            </w:r>
          </w:p>
        </w:tc>
        <w:tc>
          <w:tcPr>
            <w:tcW w:type="dxa" w:w="59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Zotero or BibTeX</w:t>
            </w:r>
          </w:p>
        </w:tc>
      </w:tr>
    </w:tbl>
    <w:p>
      <w:pPr>
        <w:spacing w:after="160"/>
      </w:pPr>
    </w:p>
    <w:p>
      <w:pPr>
        <w:pStyle w:val="Heading3"/>
        <w:spacing w:after="80" w:before="160"/>
      </w:pPr>
      <w:r>
        <w:t xml:space="preserve">Expected Outcome</w:t>
      </w:r>
    </w:p>
    <w:p>
      <w:pPr>
        <w:spacing w:after="120"/>
      </w:pPr>
      <w:r>
        <w:t xml:space="preserve">A complete paper draft — introduction, related work, methodology, results, discussion, limitations — ready for mentor review and, if applicable, submission to a target venue.</w:t>
      </w:r>
    </w:p>
    <w:p>
      <w:pPr>
        <w:pStyle w:val="Heading3"/>
        <w:spacing w:after="80" w:before="160"/>
      </w:pPr>
      <w:r>
        <w:t xml:space="preserve">Exit Criteria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Full draft reviewed internally by both authors.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Mentor feedback incorporated.</w:t>
      </w:r>
    </w:p>
    <w:p>
      <w:pPr>
        <w:shd w:fill="EAF0FA" w:val="clear"/>
        <w:spacing w:after="140" w:before="300"/>
      </w:pPr>
      <w:r>
        <w:rPr>
          <w:b/>
          <w:bCs/>
          <w:color w:val="1B3A63"/>
          <w:sz w:val="26"/>
          <w:szCs w:val="26"/>
        </w:rPr>
        <w:t xml:space="preserve">Phase 7: </w:t>
      </w:r>
      <w:r>
        <w:rPr>
          <w:b/>
          <w:bCs/>
          <w:color w:val="1B3A63"/>
          <w:sz w:val="26"/>
          <w:szCs w:val="26"/>
        </w:rPr>
        <w:t xml:space="preserve">Final Testing &amp; Presentation</w:t>
      </w:r>
      <w:r>
        <w:rPr>
          <w:i/>
          <w:iCs/>
          <w:color w:val="777777"/>
          <w:sz w:val="19"/>
          <w:szCs w:val="19"/>
        </w:rPr>
        <w:t xml:space="preserve">   [Both]</w:t>
      </w:r>
    </w:p>
    <w:p>
      <w:pPr>
        <w:pStyle w:val="Heading3"/>
        <w:spacing w:after="80" w:before="160"/>
      </w:pPr>
      <w:r>
        <w:t xml:space="preserve">Objective</w:t>
      </w:r>
    </w:p>
    <w:p>
      <w:pPr>
        <w:spacing w:after="120"/>
      </w:pPr>
      <w:r>
        <w:t xml:space="preserve">Polish the prototype and paper, and prepare all materials for the final demo/presentation.</w:t>
      </w:r>
    </w:p>
    <w:p>
      <w:pPr>
        <w:pStyle w:val="Heading3"/>
        <w:spacing w:after="80" w:before="160"/>
      </w:pPr>
      <w:r>
        <w:t xml:space="preserve">Technical Tasks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Bug fixes: </w:t>
      </w:r>
      <w:r>
        <w:t xml:space="preserve">resolve remaining issues found during integration testing.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UI polish: </w:t>
      </w:r>
      <w:r>
        <w:t xml:space="preserve">final pass on both patient and doctor interfaces for the live demo.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Demo rehearsal: </w:t>
      </w:r>
      <w:r>
        <w:t xml:space="preserve">run through the full demo script (including voice interaction) multiple times to catch failure points.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Final report / thesis writeup: </w:t>
      </w:r>
      <w:r>
        <w:t xml:space="preserve">compile the final project report (if separate from the paper).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Presentation materials: </w:t>
      </w:r>
      <w:r>
        <w:t xml:space="preserve">slide deck and/or poster; prepare answers for likely questions (data choices, epsilon range, limitations).</w:t>
      </w:r>
    </w:p>
    <w:p>
      <w:pPr>
        <w:pStyle w:val="Heading3"/>
        <w:spacing w:after="80" w:before="160"/>
      </w:pPr>
      <w:r>
        <w:t xml:space="preserve">Tools &amp; Technologies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shd w:fill="2E539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5960"/>
            <w:shd w:fill="2E539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Tool / Technology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Slides / poster</w:t>
            </w:r>
          </w:p>
        </w:tc>
        <w:tc>
          <w:tcPr>
            <w:tcW w:type="dxa" w:w="59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PowerPoint, Google Slides, or LaTeX Beamer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Demo environment</w:t>
            </w:r>
          </w:p>
        </w:tc>
        <w:tc>
          <w:tcPr>
            <w:tcW w:type="dxa" w:w="59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fully integrated local system from Phase 5, run live or recorded as backup</w:t>
            </w:r>
          </w:p>
        </w:tc>
      </w:tr>
    </w:tbl>
    <w:p>
      <w:pPr>
        <w:spacing w:after="160"/>
      </w:pPr>
    </w:p>
    <w:p>
      <w:pPr>
        <w:pStyle w:val="Heading3"/>
        <w:spacing w:after="80" w:before="160"/>
      </w:pPr>
      <w:r>
        <w:t xml:space="preserve">Expected Outcome</w:t>
      </w:r>
    </w:p>
    <w:p>
      <w:pPr>
        <w:spacing w:after="120"/>
      </w:pPr>
      <w:r>
        <w:t xml:space="preserve">A polished, reliably demoable prototype; a finalized paper draft; and complete presentation materials.</w:t>
      </w:r>
    </w:p>
    <w:p>
      <w:pPr>
        <w:pStyle w:val="Heading3"/>
        <w:spacing w:after="80" w:before="160"/>
      </w:pPr>
      <w:r>
        <w:t xml:space="preserve">Exit Criteria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Demo runs successfully at least twice in rehearsal without failure.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Final paper and report are submission-ready.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Slides/poster are complete and reviewed.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2026-08-13T07:43:28.044Z</dcterms:created>
  <dcterms:modified xsi:type="dcterms:W3CDTF">2026-08-13T07:43:28.063Z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