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UrjaSetu Agent Network and Deployment Guide</w:t>
      </w:r>
    </w:p>
    <w:p>
      <w:pPr>
        <w:pStyle w:val="Subtitle"/>
        <w:spacing w:after="360"/>
      </w:pPr>
      <w:r>
        <w:t>A concise reference for the hackathon problem statement</w:t>
      </w:r>
    </w:p>
    <w:p>
      <w:r>
        <w:rPr>
          <w:b/>
        </w:rPr>
        <w:t xml:space="preserve">Purpose  </w:t>
      </w:r>
      <w:r>
        <w:t>This guide explains the agents in UrjaSetu, the data each agent uses, whether it is AI, ML or algorithmic, and the output it produces. It also shows how the Vercel UI should connect to the Python backend on Render.</w:t>
      </w:r>
    </w:p>
    <w:p>
      <w:r>
        <w:rPr>
          <w:b/>
        </w:rPr>
        <w:t xml:space="preserve">Main conclusion  </w:t>
      </w:r>
      <w:r>
        <w:t>The active system is a deterministic multi-agent simulation. Its forecasting, auction, grid checks, optimization and settlement are algorithmic. No AI or ML model is active in the current runtime.</w:t>
      </w:r>
    </w:p>
    <w:p>
      <w:pPr>
        <w:pStyle w:val="Heading1"/>
      </w:pPr>
      <w:r>
        <w:t>Problem statement fit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376"/>
            <w:shd w:fill="18324A"/>
            <w:tcMar>
              <w:top w:w="100" w:type="dxa"/>
              <w:start w:w="110" w:type="dxa"/>
              <w:bottom w:w="100" w:type="dxa"/>
              <w:end w:w="110" w:type="dxa"/>
            </w:tcMar>
            <w:vAlign w:val="center"/>
          </w:tcPr>
          <w:p>
            <w:pPr>
              <w:spacing w:after="0"/>
            </w:pPr>
            <w:r>
              <w:rPr>
                <w:b/>
                <w:color w:val="FFFFFF"/>
                <w:sz w:val="19"/>
              </w:rPr>
              <w:t>Requirement</w:t>
            </w:r>
          </w:p>
        </w:tc>
        <w:tc>
          <w:tcPr>
            <w:tcW w:type="dxa" w:w="1944"/>
            <w:shd w:fill="18324A"/>
            <w:tcMar>
              <w:top w:w="100" w:type="dxa"/>
              <w:start w:w="110" w:type="dxa"/>
              <w:bottom w:w="100" w:type="dxa"/>
              <w:end w:w="110" w:type="dxa"/>
            </w:tcMar>
            <w:vAlign w:val="center"/>
          </w:tcPr>
          <w:p>
            <w:pPr>
              <w:spacing w:after="0"/>
            </w:pPr>
            <w:r>
              <w:rPr>
                <w:b/>
                <w:color w:val="FFFFFF"/>
                <w:sz w:val="19"/>
              </w:rPr>
              <w:t>Status</w:t>
            </w:r>
          </w:p>
        </w:tc>
        <w:tc>
          <w:tcPr>
            <w:tcW w:type="dxa" w:w="5760"/>
            <w:shd w:fill="18324A"/>
            <w:tcMar>
              <w:top w:w="100" w:type="dxa"/>
              <w:start w:w="110" w:type="dxa"/>
              <w:bottom w:w="100" w:type="dxa"/>
              <w:end w:w="110" w:type="dxa"/>
            </w:tcMar>
            <w:vAlign w:val="center"/>
          </w:tcPr>
          <w:p>
            <w:pPr>
              <w:spacing w:after="0"/>
            </w:pPr>
            <w:r>
              <w:rPr>
                <w:b/>
                <w:color w:val="FFFFFF"/>
                <w:sz w:val="19"/>
              </w:rPr>
              <w:t>Meaning</w:t>
            </w:r>
          </w:p>
        </w:tc>
      </w:tr>
      <w:tr>
        <w:tc>
          <w:tcPr>
            <w:tcW w:type="dxa" w:w="2376"/>
            <w:vAlign w:val="center"/>
            <w:tcMar>
              <w:top w:w="100" w:type="dxa"/>
              <w:start w:w="110" w:type="dxa"/>
              <w:bottom w:w="100" w:type="dxa"/>
              <w:end w:w="110" w:type="dxa"/>
            </w:tcMar>
          </w:tcPr>
          <w:p>
            <w:pPr>
              <w:spacing w:after="0" w:line="259" w:lineRule="auto"/>
            </w:pPr>
            <w:r>
              <w:rPr>
                <w:b/>
                <w:sz w:val="19"/>
              </w:rPr>
              <w:t>Monitor hyper local generation</w:t>
            </w:r>
          </w:p>
        </w:tc>
        <w:tc>
          <w:tcPr>
            <w:tcW w:type="dxa" w:w="1944"/>
            <w:vAlign w:val="center"/>
            <w:tcMar>
              <w:top w:w="100" w:type="dxa"/>
              <w:start w:w="110" w:type="dxa"/>
              <w:bottom w:w="100" w:type="dxa"/>
              <w:end w:w="110" w:type="dxa"/>
            </w:tcMar>
            <w:shd w:fill="E8F3EC"/>
          </w:tcPr>
          <w:p>
            <w:pPr>
              <w:spacing w:after="0" w:line="259" w:lineRule="auto"/>
            </w:pPr>
            <w:r>
              <w:rPr>
                <w:sz w:val="19"/>
              </w:rPr>
              <w:t>Implemented in simulation</w:t>
            </w:r>
          </w:p>
        </w:tc>
        <w:tc>
          <w:tcPr>
            <w:tcW w:type="dxa" w:w="5760"/>
            <w:vAlign w:val="center"/>
            <w:tcMar>
              <w:top w:w="100" w:type="dxa"/>
              <w:start w:w="110" w:type="dxa"/>
              <w:bottom w:w="100" w:type="dxa"/>
              <w:end w:w="110" w:type="dxa"/>
            </w:tcMar>
          </w:tcPr>
          <w:p>
            <w:pPr>
              <w:spacing w:after="0" w:line="259" w:lineRule="auto"/>
            </w:pPr>
            <w:r>
              <w:rPr>
                <w:sz w:val="19"/>
              </w:rPr>
              <w:t>Hourly load, rooftop solar, EV demand, weather and transformer topology are read for 64 nodes.</w:t>
            </w:r>
          </w:p>
        </w:tc>
      </w:tr>
      <w:tr>
        <w:tc>
          <w:tcPr>
            <w:tcW w:type="dxa" w:w="2376"/>
            <w:vAlign w:val="center"/>
            <w:tcMar>
              <w:top w:w="100" w:type="dxa"/>
              <w:start w:w="110" w:type="dxa"/>
              <w:bottom w:w="100" w:type="dxa"/>
              <w:end w:w="110" w:type="dxa"/>
            </w:tcMar>
            <w:shd w:fill="F5F7F9"/>
          </w:tcPr>
          <w:p>
            <w:pPr>
              <w:spacing w:after="0" w:line="259" w:lineRule="auto"/>
            </w:pPr>
            <w:r>
              <w:rPr>
                <w:b/>
                <w:sz w:val="19"/>
              </w:rPr>
              <w:t>Predict grid failures</w:t>
            </w:r>
          </w:p>
        </w:tc>
        <w:tc>
          <w:tcPr>
            <w:tcW w:type="dxa" w:w="1944"/>
            <w:vAlign w:val="center"/>
            <w:tcMar>
              <w:top w:w="100" w:type="dxa"/>
              <w:start w:w="110" w:type="dxa"/>
              <w:bottom w:w="100" w:type="dxa"/>
              <w:end w:w="110" w:type="dxa"/>
            </w:tcMar>
            <w:shd w:fill="FFF3D6"/>
          </w:tcPr>
          <w:p>
            <w:pPr>
              <w:spacing w:after="0" w:line="259" w:lineRule="auto"/>
            </w:pPr>
            <w:r>
              <w:rPr>
                <w:sz w:val="19"/>
              </w:rPr>
              <w:t>Partial</w:t>
            </w:r>
          </w:p>
        </w:tc>
        <w:tc>
          <w:tcPr>
            <w:tcW w:type="dxa" w:w="5760"/>
            <w:vAlign w:val="center"/>
            <w:tcMar>
              <w:top w:w="100" w:type="dxa"/>
              <w:start w:w="110" w:type="dxa"/>
              <w:bottom w:w="100" w:type="dxa"/>
              <w:end w:w="110" w:type="dxa"/>
            </w:tcMar>
            <w:shd w:fill="F5F7F9"/>
          </w:tcPr>
          <w:p>
            <w:pPr>
              <w:spacing w:after="0" w:line="259" w:lineRule="auto"/>
            </w:pPr>
            <w:r>
              <w:rPr>
                <w:sz w:val="19"/>
              </w:rPr>
              <w:t>The system forecasts energy and detects overload, phase and voltage breaches. A real future failure probability is not yet active.</w:t>
            </w:r>
          </w:p>
        </w:tc>
      </w:tr>
      <w:tr>
        <w:tc>
          <w:tcPr>
            <w:tcW w:type="dxa" w:w="2376"/>
            <w:vAlign w:val="center"/>
            <w:tcMar>
              <w:top w:w="100" w:type="dxa"/>
              <w:start w:w="110" w:type="dxa"/>
              <w:bottom w:w="100" w:type="dxa"/>
              <w:end w:w="110" w:type="dxa"/>
            </w:tcMar>
          </w:tcPr>
          <w:p>
            <w:pPr>
              <w:spacing w:after="0" w:line="259" w:lineRule="auto"/>
            </w:pPr>
            <w:r>
              <w:rPr>
                <w:b/>
                <w:sz w:val="19"/>
              </w:rPr>
              <w:t>Autonomously respond</w:t>
            </w:r>
          </w:p>
        </w:tc>
        <w:tc>
          <w:tcPr>
            <w:tcW w:type="dxa" w:w="1944"/>
            <w:vAlign w:val="center"/>
            <w:tcMar>
              <w:top w:w="100" w:type="dxa"/>
              <w:start w:w="110" w:type="dxa"/>
              <w:bottom w:w="100" w:type="dxa"/>
              <w:end w:w="110" w:type="dxa"/>
            </w:tcMar>
            <w:shd w:fill="E8F3EC"/>
          </w:tcPr>
          <w:p>
            <w:pPr>
              <w:spacing w:after="0" w:line="259" w:lineRule="auto"/>
            </w:pPr>
            <w:r>
              <w:rPr>
                <w:sz w:val="19"/>
              </w:rPr>
              <w:t>Implemented in simulation</w:t>
            </w:r>
          </w:p>
        </w:tc>
        <w:tc>
          <w:tcPr>
            <w:tcW w:type="dxa" w:w="5760"/>
            <w:vAlign w:val="center"/>
            <w:tcMar>
              <w:top w:w="100" w:type="dxa"/>
              <w:start w:w="110" w:type="dxa"/>
              <w:bottom w:w="100" w:type="dxa"/>
              <w:end w:w="110" w:type="dxa"/>
            </w:tcMar>
          </w:tcPr>
          <w:p>
            <w:pPr>
              <w:spacing w:after="0" w:line="259" w:lineRule="auto"/>
            </w:pPr>
            <w:r>
              <w:rPr>
                <w:sz w:val="19"/>
              </w:rPr>
              <w:t>A breach can trigger battery discharge, LP based trade reshaping and safe fallback curtailment.</w:t>
            </w:r>
          </w:p>
        </w:tc>
      </w:tr>
      <w:tr>
        <w:tc>
          <w:tcPr>
            <w:tcW w:type="dxa" w:w="2376"/>
            <w:vAlign w:val="center"/>
            <w:tcMar>
              <w:top w:w="100" w:type="dxa"/>
              <w:start w:w="110" w:type="dxa"/>
              <w:bottom w:w="100" w:type="dxa"/>
              <w:end w:w="110" w:type="dxa"/>
            </w:tcMar>
            <w:shd w:fill="F5F7F9"/>
          </w:tcPr>
          <w:p>
            <w:pPr>
              <w:spacing w:after="0" w:line="259" w:lineRule="auto"/>
            </w:pPr>
            <w:r>
              <w:rPr>
                <w:b/>
                <w:sz w:val="19"/>
              </w:rPr>
              <w:t>Peer to peer energy trading</w:t>
            </w:r>
          </w:p>
        </w:tc>
        <w:tc>
          <w:tcPr>
            <w:tcW w:type="dxa" w:w="1944"/>
            <w:vAlign w:val="center"/>
            <w:tcMar>
              <w:top w:w="100" w:type="dxa"/>
              <w:start w:w="110" w:type="dxa"/>
              <w:bottom w:w="100" w:type="dxa"/>
              <w:end w:w="110" w:type="dxa"/>
            </w:tcMar>
            <w:shd w:fill="E8F3EC"/>
          </w:tcPr>
          <w:p>
            <w:pPr>
              <w:spacing w:after="0" w:line="259" w:lineRule="auto"/>
            </w:pPr>
            <w:r>
              <w:rPr>
                <w:sz w:val="19"/>
              </w:rPr>
              <w:t>Implemented in simulation</w:t>
            </w:r>
          </w:p>
        </w:tc>
        <w:tc>
          <w:tcPr>
            <w:tcW w:type="dxa" w:w="5760"/>
            <w:vAlign w:val="center"/>
            <w:tcMar>
              <w:top w:w="100" w:type="dxa"/>
              <w:start w:w="110" w:type="dxa"/>
              <w:bottom w:w="100" w:type="dxa"/>
              <w:end w:w="110" w:type="dxa"/>
            </w:tcMar>
            <w:shd w:fill="F5F7F9"/>
          </w:tcPr>
          <w:p>
            <w:pPr>
              <w:spacing w:after="0" w:line="259" w:lineRule="auto"/>
            </w:pPr>
            <w:r>
              <w:rPr>
                <w:sz w:val="19"/>
              </w:rPr>
              <w:t>Households bid and offer energy through a same transformer auction with settlement and network charges.</w:t>
            </w:r>
          </w:p>
        </w:tc>
      </w:tr>
    </w:tbl>
    <w:p>
      <w:pPr>
        <w:pStyle w:val="Heading1"/>
      </w:pPr>
      <w:r>
        <w:t>How to describe the technology</w:t>
      </w:r>
    </w:p>
    <w:p>
      <w:pPr>
        <w:pStyle w:val="ListBullet"/>
        <w:spacing w:after="60"/>
      </w:pPr>
      <w:r>
        <w:t>Algorithmic means a fixed, explainable rule or mathematical model. This describes all seven active agents.</w:t>
      </w:r>
    </w:p>
    <w:p>
      <w:pPr>
        <w:pStyle w:val="ListBullet"/>
        <w:spacing w:after="60"/>
      </w:pPr>
      <w:r>
        <w:t>Machine learning means a model learned from training data. LightGBM code exists, but it is disabled, trained only on synthetic labels when enabled, and not used by the main runner.</w:t>
      </w:r>
    </w:p>
    <w:p>
      <w:pPr>
        <w:pStyle w:val="ListBullet"/>
        <w:spacing w:after="60"/>
      </w:pPr>
      <w:r>
        <w:t>Artificial intelligence means a model such as an LLM making or explaining decisions. LLM helper functions exist, but no provider is connected and the feature is disabled.</w:t>
      </w:r>
    </w:p>
    <w:p>
      <w:pPr>
        <w:pStyle w:val="Heading1"/>
      </w:pPr>
      <w:r>
        <w:t>Accurate project description</w:t>
      </w:r>
    </w:p>
    <w:p>
      <w:r>
        <w:t>UrjaSetu is a deterministic multi-agent digital twin for a local distribution grid. Household agents forecast supply and demand, a market agent clears peer to peer trades, grid agents check and reshape unsafe flows, and a settlement agent records energy and charges. The current prototype uses modelled Whitefield data. The planned deployment serves the UI from Vercel and runs the Python decision network on Render.</w:t>
      </w:r>
    </w:p>
    <w:p>
      <w:r>
        <w:br w:type="page"/>
      </w:r>
    </w:p>
    <w:p>
      <w:pPr>
        <w:pStyle w:val="Heading1"/>
      </w:pPr>
      <w:r>
        <w:t>Agent network</w:t>
      </w:r>
    </w:p>
    <w:p>
      <w:pPr>
        <w:spacing w:after="160"/>
      </w:pPr>
      <w:r>
        <w:t>The runner opens one hourly block and moves information through this network. If the sentinel finds a loading problem, the flow agent constrains the market before health and settlement are calculated.</w:t>
      </w:r>
    </w:p>
    <w:p>
      <w:pPr>
        <w:keepNext/>
        <w:jc w:val="center"/>
      </w:pPr>
      <w:r>
        <w:drawing>
          <wp:inline xmlns:a="http://schemas.openxmlformats.org/drawingml/2006/main" xmlns:pic="http://schemas.openxmlformats.org/drawingml/2006/picture">
            <wp:extent cx="6400800" cy="3549534"/>
            <wp:docPr id="1" name="Picture 1"/>
            <wp:cNvGraphicFramePr>
              <a:graphicFrameLocks noChangeAspect="1"/>
            </wp:cNvGraphicFramePr>
            <a:graphic>
              <a:graphicData uri="http://schemas.openxmlformats.org/drawingml/2006/picture">
                <pic:pic>
                  <pic:nvPicPr>
                    <pic:cNvPr id="0" name=".agent_network.png"/>
                    <pic:cNvPicPr/>
                  </pic:nvPicPr>
                  <pic:blipFill>
                    <a:blip r:embed="rId9"/>
                    <a:stretch>
                      <a:fillRect/>
                    </a:stretch>
                  </pic:blipFill>
                  <pic:spPr>
                    <a:xfrm>
                      <a:off x="0" y="0"/>
                      <a:ext cx="6400800" cy="3549534"/>
                    </a:xfrm>
                    <a:prstGeom prst="rect"/>
                  </pic:spPr>
                </pic:pic>
              </a:graphicData>
            </a:graphic>
          </wp:inline>
        </w:drawing>
      </w:r>
    </w:p>
    <w:p>
      <w:pPr>
        <w:spacing w:after="160"/>
        <w:jc w:val="center"/>
      </w:pPr>
      <w:r>
        <w:rPr>
          <w:i/>
          <w:color w:val="505050"/>
          <w:sz w:val="18"/>
        </w:rPr>
        <w:t>Figure 1  Active agent and decision flow</w:t>
      </w:r>
    </w:p>
    <w:p>
      <w:r>
        <w:t>Important distinction: the agents are separate decision components, but they currently run inside one centralized Python process. This is an agent network, not a blockchain or distributed peer network.</w:t>
      </w:r>
    </w:p>
    <w:p>
      <w:r>
        <w:br w:type="page"/>
      </w:r>
    </w:p>
    <w:p>
      <w:pPr>
        <w:pStyle w:val="Heading1"/>
      </w:pPr>
      <w:r>
        <w:t>Active agents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45"/>
        <w:gridCol w:w="2045"/>
        <w:gridCol w:w="2045"/>
        <w:gridCol w:w="2045"/>
        <w:gridCol w:w="2045"/>
      </w:tblGrid>
      <w:tr>
        <w:trPr>
          <w:tblHeader w:val="true"/>
        </w:trPr>
        <w:tc>
          <w:tcPr>
            <w:tcW w:type="dxa" w:w="1656"/>
            <w:shd w:fill="18324A"/>
            <w:tcMar>
              <w:top w:w="100" w:type="dxa"/>
              <w:start w:w="110" w:type="dxa"/>
              <w:bottom w:w="100" w:type="dxa"/>
              <w:end w:w="110" w:type="dxa"/>
            </w:tcMar>
            <w:vAlign w:val="center"/>
          </w:tcPr>
          <w:p>
            <w:pPr>
              <w:spacing w:after="0"/>
            </w:pPr>
            <w:r>
              <w:rPr>
                <w:b/>
                <w:color w:val="FFFFFF"/>
                <w:sz w:val="19"/>
              </w:rPr>
              <w:t>Agent</w:t>
            </w:r>
          </w:p>
        </w:tc>
        <w:tc>
          <w:tcPr>
            <w:tcW w:type="dxa" w:w="1296"/>
            <w:shd w:fill="18324A"/>
            <w:tcMar>
              <w:top w:w="100" w:type="dxa"/>
              <w:start w:w="110" w:type="dxa"/>
              <w:bottom w:w="100" w:type="dxa"/>
              <w:end w:w="110" w:type="dxa"/>
            </w:tcMar>
            <w:vAlign w:val="center"/>
          </w:tcPr>
          <w:p>
            <w:pPr>
              <w:spacing w:after="0"/>
            </w:pPr>
            <w:r>
              <w:rPr>
                <w:b/>
                <w:color w:val="FFFFFF"/>
                <w:sz w:val="19"/>
              </w:rPr>
              <w:t>Type</w:t>
            </w:r>
          </w:p>
        </w:tc>
        <w:tc>
          <w:tcPr>
            <w:tcW w:type="dxa" w:w="2448"/>
            <w:shd w:fill="18324A"/>
            <w:tcMar>
              <w:top w:w="100" w:type="dxa"/>
              <w:start w:w="110" w:type="dxa"/>
              <w:bottom w:w="100" w:type="dxa"/>
              <w:end w:w="110" w:type="dxa"/>
            </w:tcMar>
            <w:vAlign w:val="center"/>
          </w:tcPr>
          <w:p>
            <w:pPr>
              <w:spacing w:after="0"/>
            </w:pPr>
            <w:r>
              <w:rPr>
                <w:b/>
                <w:color w:val="FFFFFF"/>
                <w:sz w:val="19"/>
              </w:rPr>
              <w:t>What it does</w:t>
            </w:r>
          </w:p>
        </w:tc>
        <w:tc>
          <w:tcPr>
            <w:tcW w:type="dxa" w:w="2664"/>
            <w:shd w:fill="18324A"/>
            <w:tcMar>
              <w:top w:w="100" w:type="dxa"/>
              <w:start w:w="110" w:type="dxa"/>
              <w:bottom w:w="100" w:type="dxa"/>
              <w:end w:w="110" w:type="dxa"/>
            </w:tcMar>
            <w:vAlign w:val="center"/>
          </w:tcPr>
          <w:p>
            <w:pPr>
              <w:spacing w:after="0"/>
            </w:pPr>
            <w:r>
              <w:rPr>
                <w:b/>
                <w:color w:val="FFFFFF"/>
                <w:sz w:val="19"/>
              </w:rPr>
              <w:t>Data used</w:t>
            </w:r>
          </w:p>
        </w:tc>
        <w:tc>
          <w:tcPr>
            <w:tcW w:type="dxa" w:w="2016"/>
            <w:shd w:fill="18324A"/>
            <w:tcMar>
              <w:top w:w="100" w:type="dxa"/>
              <w:start w:w="110" w:type="dxa"/>
              <w:bottom w:w="100" w:type="dxa"/>
              <w:end w:w="110" w:type="dxa"/>
            </w:tcMar>
            <w:vAlign w:val="center"/>
          </w:tcPr>
          <w:p>
            <w:pPr>
              <w:spacing w:after="0"/>
            </w:pPr>
            <w:r>
              <w:rPr>
                <w:b/>
                <w:color w:val="FFFFFF"/>
                <w:sz w:val="19"/>
              </w:rPr>
              <w:t>Output</w:t>
            </w:r>
          </w:p>
        </w:tc>
      </w:tr>
      <w:tr>
        <w:tc>
          <w:tcPr>
            <w:tcW w:type="dxa" w:w="1656"/>
            <w:vAlign w:val="center"/>
            <w:tcMar>
              <w:top w:w="100" w:type="dxa"/>
              <w:start w:w="110" w:type="dxa"/>
              <w:bottom w:w="100" w:type="dxa"/>
              <w:end w:w="110" w:type="dxa"/>
            </w:tcMar>
          </w:tcPr>
          <w:p>
            <w:pPr>
              <w:spacing w:after="0" w:line="259" w:lineRule="auto"/>
            </w:pPr>
            <w:r>
              <w:rPr>
                <w:b/>
                <w:sz w:val="17"/>
              </w:rPr>
              <w:t>Prosumer Agent</w:t>
            </w:r>
          </w:p>
        </w:tc>
        <w:tc>
          <w:tcPr>
            <w:tcW w:type="dxa" w:w="1296"/>
            <w:vAlign w:val="center"/>
            <w:tcMar>
              <w:top w:w="100" w:type="dxa"/>
              <w:start w:w="110" w:type="dxa"/>
              <w:bottom w:w="100" w:type="dxa"/>
              <w:end w:w="110" w:type="dxa"/>
            </w:tcMar>
          </w:tcPr>
          <w:p>
            <w:pPr>
              <w:spacing w:after="0" w:line="259" w:lineRule="auto"/>
            </w:pPr>
            <w:r>
              <w:rPr>
                <w:sz w:val="17"/>
              </w:rPr>
              <w:t>Algorithmic</w:t>
            </w:r>
          </w:p>
        </w:tc>
        <w:tc>
          <w:tcPr>
            <w:tcW w:type="dxa" w:w="2448"/>
            <w:vAlign w:val="center"/>
            <w:tcMar>
              <w:top w:w="100" w:type="dxa"/>
              <w:start w:w="110" w:type="dxa"/>
              <w:bottom w:w="100" w:type="dxa"/>
              <w:end w:w="110" w:type="dxa"/>
            </w:tcMar>
          </w:tcPr>
          <w:p>
            <w:pPr>
              <w:spacing w:after="0" w:line="259" w:lineRule="auto"/>
            </w:pPr>
            <w:r>
              <w:rPr>
                <w:sz w:val="17"/>
              </w:rPr>
              <w:t>Predicts a solar home's surplus and creates a sell offer.</w:t>
            </w:r>
          </w:p>
        </w:tc>
        <w:tc>
          <w:tcPr>
            <w:tcW w:type="dxa" w:w="2664"/>
            <w:vAlign w:val="center"/>
            <w:tcMar>
              <w:top w:w="100" w:type="dxa"/>
              <w:start w:w="110" w:type="dxa"/>
              <w:bottom w:w="100" w:type="dxa"/>
              <w:end w:w="110" w:type="dxa"/>
            </w:tcMar>
          </w:tcPr>
          <w:p>
            <w:pPr>
              <w:spacing w:after="0" w:line="259" w:lineRule="auto"/>
            </w:pPr>
            <w:r>
              <w:rPr>
                <w:sz w:val="17"/>
              </w:rPr>
              <w:t>Feed forecast, 7 day same hour EWMA, tariff, price history, battery reserve</w:t>
            </w:r>
          </w:p>
        </w:tc>
        <w:tc>
          <w:tcPr>
            <w:tcW w:type="dxa" w:w="2016"/>
            <w:vAlign w:val="center"/>
            <w:tcMar>
              <w:top w:w="100" w:type="dxa"/>
              <w:start w:w="110" w:type="dxa"/>
              <w:bottom w:w="100" w:type="dxa"/>
              <w:end w:w="110" w:type="dxa"/>
            </w:tcMar>
          </w:tcPr>
          <w:p>
            <w:pPr>
              <w:spacing w:after="0" w:line="259" w:lineRule="auto"/>
            </w:pPr>
            <w:r>
              <w:rPr>
                <w:sz w:val="17"/>
              </w:rPr>
              <w:t>Order with quantity and minimum price</w:t>
            </w:r>
          </w:p>
        </w:tc>
      </w:tr>
      <w:tr>
        <w:tc>
          <w:tcPr>
            <w:tcW w:type="dxa" w:w="1656"/>
            <w:vAlign w:val="center"/>
            <w:tcMar>
              <w:top w:w="100" w:type="dxa"/>
              <w:start w:w="110" w:type="dxa"/>
              <w:bottom w:w="100" w:type="dxa"/>
              <w:end w:w="110" w:type="dxa"/>
            </w:tcMar>
            <w:shd w:fill="F5F7F9"/>
          </w:tcPr>
          <w:p>
            <w:pPr>
              <w:spacing w:after="0" w:line="259" w:lineRule="auto"/>
            </w:pPr>
            <w:r>
              <w:rPr>
                <w:b/>
                <w:sz w:val="17"/>
              </w:rPr>
              <w:t>Consumer Agent</w:t>
            </w:r>
          </w:p>
        </w:tc>
        <w:tc>
          <w:tcPr>
            <w:tcW w:type="dxa" w:w="1296"/>
            <w:vAlign w:val="center"/>
            <w:tcMar>
              <w:top w:w="100" w:type="dxa"/>
              <w:start w:w="110" w:type="dxa"/>
              <w:bottom w:w="100" w:type="dxa"/>
              <w:end w:w="110" w:type="dxa"/>
            </w:tcMar>
            <w:shd w:fill="F5F7F9"/>
          </w:tcPr>
          <w:p>
            <w:pPr>
              <w:spacing w:after="0" w:line="259" w:lineRule="auto"/>
            </w:pPr>
            <w:r>
              <w:rPr>
                <w:sz w:val="17"/>
              </w:rPr>
              <w:t>Algorithmic</w:t>
            </w:r>
          </w:p>
        </w:tc>
        <w:tc>
          <w:tcPr>
            <w:tcW w:type="dxa" w:w="2448"/>
            <w:vAlign w:val="center"/>
            <w:tcMar>
              <w:top w:w="100" w:type="dxa"/>
              <w:start w:w="110" w:type="dxa"/>
              <w:bottom w:w="100" w:type="dxa"/>
              <w:end w:w="110" w:type="dxa"/>
            </w:tcMar>
            <w:shd w:fill="F5F7F9"/>
          </w:tcPr>
          <w:p>
            <w:pPr>
              <w:spacing w:after="0" w:line="259" w:lineRule="auto"/>
            </w:pPr>
            <w:r>
              <w:rPr>
                <w:sz w:val="17"/>
              </w:rPr>
              <w:t>Predicts a home's deficit and creates a buy bid below its retail tariff.</w:t>
            </w:r>
          </w:p>
        </w:tc>
        <w:tc>
          <w:tcPr>
            <w:tcW w:type="dxa" w:w="2664"/>
            <w:vAlign w:val="center"/>
            <w:tcMar>
              <w:top w:w="100" w:type="dxa"/>
              <w:start w:w="110" w:type="dxa"/>
              <w:bottom w:w="100" w:type="dxa"/>
              <w:end w:w="110" w:type="dxa"/>
            </w:tcMar>
            <w:shd w:fill="F5F7F9"/>
          </w:tcPr>
          <w:p>
            <w:pPr>
              <w:spacing w:after="0" w:line="259" w:lineRule="auto"/>
            </w:pPr>
            <w:r>
              <w:rPr>
                <w:sz w:val="17"/>
              </w:rPr>
              <w:t>Feed forecast, 7 day same hour EWMA, retail tariff, buying strategy</w:t>
            </w:r>
          </w:p>
        </w:tc>
        <w:tc>
          <w:tcPr>
            <w:tcW w:type="dxa" w:w="2016"/>
            <w:vAlign w:val="center"/>
            <w:tcMar>
              <w:top w:w="100" w:type="dxa"/>
              <w:start w:w="110" w:type="dxa"/>
              <w:bottom w:w="100" w:type="dxa"/>
              <w:end w:w="110" w:type="dxa"/>
            </w:tcMar>
            <w:shd w:fill="F5F7F9"/>
          </w:tcPr>
          <w:p>
            <w:pPr>
              <w:spacing w:after="0" w:line="259" w:lineRule="auto"/>
            </w:pPr>
            <w:r>
              <w:rPr>
                <w:sz w:val="17"/>
              </w:rPr>
              <w:t>Order with quantity and maximum price</w:t>
            </w:r>
          </w:p>
        </w:tc>
      </w:tr>
      <w:tr>
        <w:tc>
          <w:tcPr>
            <w:tcW w:type="dxa" w:w="1656"/>
            <w:vAlign w:val="center"/>
            <w:tcMar>
              <w:top w:w="100" w:type="dxa"/>
              <w:start w:w="110" w:type="dxa"/>
              <w:bottom w:w="100" w:type="dxa"/>
              <w:end w:w="110" w:type="dxa"/>
            </w:tcMar>
          </w:tcPr>
          <w:p>
            <w:pPr>
              <w:spacing w:after="0" w:line="259" w:lineRule="auto"/>
            </w:pPr>
            <w:r>
              <w:rPr>
                <w:b/>
                <w:sz w:val="17"/>
              </w:rPr>
              <w:t>Market Agent</w:t>
            </w:r>
          </w:p>
        </w:tc>
        <w:tc>
          <w:tcPr>
            <w:tcW w:type="dxa" w:w="1296"/>
            <w:vAlign w:val="center"/>
            <w:tcMar>
              <w:top w:w="100" w:type="dxa"/>
              <w:start w:w="110" w:type="dxa"/>
              <w:bottom w:w="100" w:type="dxa"/>
              <w:end w:w="110" w:type="dxa"/>
            </w:tcMar>
          </w:tcPr>
          <w:p>
            <w:pPr>
              <w:spacing w:after="0" w:line="259" w:lineRule="auto"/>
            </w:pPr>
            <w:r>
              <w:rPr>
                <w:sz w:val="17"/>
              </w:rPr>
              <w:t>Algorithmic</w:t>
            </w:r>
          </w:p>
        </w:tc>
        <w:tc>
          <w:tcPr>
            <w:tcW w:type="dxa" w:w="2448"/>
            <w:vAlign w:val="center"/>
            <w:tcMar>
              <w:top w:w="100" w:type="dxa"/>
              <w:start w:w="110" w:type="dxa"/>
              <w:bottom w:w="100" w:type="dxa"/>
              <w:end w:w="110" w:type="dxa"/>
            </w:tcMar>
          </w:tcPr>
          <w:p>
            <w:pPr>
              <w:spacing w:after="0" w:line="259" w:lineRule="auto"/>
            </w:pPr>
            <w:r>
              <w:rPr>
                <w:sz w:val="17"/>
              </w:rPr>
              <w:t>Matches buyers and sellers on the same transformer using a deterministic auction.</w:t>
            </w:r>
          </w:p>
        </w:tc>
        <w:tc>
          <w:tcPr>
            <w:tcW w:type="dxa" w:w="2664"/>
            <w:vAlign w:val="center"/>
            <w:tcMar>
              <w:top w:w="100" w:type="dxa"/>
              <w:start w:w="110" w:type="dxa"/>
              <w:bottom w:w="100" w:type="dxa"/>
              <w:end w:w="110" w:type="dxa"/>
            </w:tcMar>
          </w:tcPr>
          <w:p>
            <w:pPr>
              <w:spacing w:after="0" w:line="259" w:lineRule="auto"/>
            </w:pPr>
            <w:r>
              <w:rPr>
                <w:sz w:val="17"/>
              </w:rPr>
              <w:t>Orders, house to transformer mapping, market rules</w:t>
            </w:r>
          </w:p>
        </w:tc>
        <w:tc>
          <w:tcPr>
            <w:tcW w:type="dxa" w:w="2016"/>
            <w:vAlign w:val="center"/>
            <w:tcMar>
              <w:top w:w="100" w:type="dxa"/>
              <w:start w:w="110" w:type="dxa"/>
              <w:bottom w:w="100" w:type="dxa"/>
              <w:end w:w="110" w:type="dxa"/>
            </w:tcMar>
          </w:tcPr>
          <w:p>
            <w:pPr>
              <w:spacing w:after="0" w:line="259" w:lineRule="auto"/>
            </w:pPr>
            <w:r>
              <w:rPr>
                <w:sz w:val="17"/>
              </w:rPr>
              <w:t>Trades, clearing price, unmatched orders</w:t>
            </w:r>
          </w:p>
        </w:tc>
      </w:tr>
      <w:tr>
        <w:tc>
          <w:tcPr>
            <w:tcW w:type="dxa" w:w="1656"/>
            <w:vAlign w:val="center"/>
            <w:tcMar>
              <w:top w:w="100" w:type="dxa"/>
              <w:start w:w="110" w:type="dxa"/>
              <w:bottom w:w="100" w:type="dxa"/>
              <w:end w:w="110" w:type="dxa"/>
            </w:tcMar>
            <w:shd w:fill="F5F7F9"/>
          </w:tcPr>
          <w:p>
            <w:pPr>
              <w:spacing w:after="0" w:line="259" w:lineRule="auto"/>
            </w:pPr>
            <w:r>
              <w:rPr>
                <w:b/>
                <w:sz w:val="17"/>
              </w:rPr>
              <w:t>Grid Sentinel</w:t>
            </w:r>
          </w:p>
        </w:tc>
        <w:tc>
          <w:tcPr>
            <w:tcW w:type="dxa" w:w="1296"/>
            <w:vAlign w:val="center"/>
            <w:tcMar>
              <w:top w:w="100" w:type="dxa"/>
              <w:start w:w="110" w:type="dxa"/>
              <w:bottom w:w="100" w:type="dxa"/>
              <w:end w:w="110" w:type="dxa"/>
            </w:tcMar>
            <w:shd w:fill="F5F7F9"/>
          </w:tcPr>
          <w:p>
            <w:pPr>
              <w:spacing w:after="0" w:line="259" w:lineRule="auto"/>
            </w:pPr>
            <w:r>
              <w:rPr>
                <w:sz w:val="17"/>
              </w:rPr>
              <w:t>Algorithmic</w:t>
            </w:r>
          </w:p>
        </w:tc>
        <w:tc>
          <w:tcPr>
            <w:tcW w:type="dxa" w:w="2448"/>
            <w:vAlign w:val="center"/>
            <w:tcMar>
              <w:top w:w="100" w:type="dxa"/>
              <w:start w:w="110" w:type="dxa"/>
              <w:bottom w:w="100" w:type="dxa"/>
              <w:end w:w="110" w:type="dxa"/>
            </w:tcMar>
            <w:shd w:fill="F5F7F9"/>
          </w:tcPr>
          <w:p>
            <w:pPr>
              <w:spacing w:after="0" w:line="259" w:lineRule="auto"/>
            </w:pPr>
            <w:r>
              <w:rPr>
                <w:sz w:val="17"/>
              </w:rPr>
              <w:t>Checks whether the cleared result violates transformer or feeder limits.</w:t>
            </w:r>
          </w:p>
        </w:tc>
        <w:tc>
          <w:tcPr>
            <w:tcW w:type="dxa" w:w="2664"/>
            <w:vAlign w:val="center"/>
            <w:tcMar>
              <w:top w:w="100" w:type="dxa"/>
              <w:start w:w="110" w:type="dxa"/>
              <w:bottom w:w="100" w:type="dxa"/>
              <w:end w:w="110" w:type="dxa"/>
            </w:tcMar>
            <w:shd w:fill="F5F7F9"/>
          </w:tcPr>
          <w:p>
            <w:pPr>
              <w:spacing w:after="0" w:line="259" w:lineRule="auto"/>
            </w:pPr>
            <w:r>
              <w:rPr>
                <w:sz w:val="17"/>
              </w:rPr>
              <w:t>Meter ticks, trades, phases, ratings, distance and configured limits</w:t>
            </w:r>
          </w:p>
        </w:tc>
        <w:tc>
          <w:tcPr>
            <w:tcW w:type="dxa" w:w="2016"/>
            <w:vAlign w:val="center"/>
            <w:tcMar>
              <w:top w:w="100" w:type="dxa"/>
              <w:start w:w="110" w:type="dxa"/>
              <w:bottom w:w="100" w:type="dxa"/>
              <w:end w:w="110" w:type="dxa"/>
            </w:tcMar>
            <w:shd w:fill="F5F7F9"/>
          </w:tcPr>
          <w:p>
            <w:pPr>
              <w:spacing w:after="0" w:line="259" w:lineRule="auto"/>
            </w:pPr>
            <w:r>
              <w:rPr>
                <w:sz w:val="17"/>
              </w:rPr>
              <w:t>Highest severity Breach or no breach</w:t>
            </w:r>
          </w:p>
        </w:tc>
      </w:tr>
      <w:tr>
        <w:tc>
          <w:tcPr>
            <w:tcW w:type="dxa" w:w="1656"/>
            <w:vAlign w:val="center"/>
            <w:tcMar>
              <w:top w:w="100" w:type="dxa"/>
              <w:start w:w="110" w:type="dxa"/>
              <w:bottom w:w="100" w:type="dxa"/>
              <w:end w:w="110" w:type="dxa"/>
            </w:tcMar>
          </w:tcPr>
          <w:p>
            <w:pPr>
              <w:spacing w:after="0" w:line="259" w:lineRule="auto"/>
            </w:pPr>
            <w:r>
              <w:rPr>
                <w:b/>
                <w:sz w:val="17"/>
              </w:rPr>
              <w:t>Flow Agent</w:t>
            </w:r>
          </w:p>
        </w:tc>
        <w:tc>
          <w:tcPr>
            <w:tcW w:type="dxa" w:w="1296"/>
            <w:vAlign w:val="center"/>
            <w:tcMar>
              <w:top w:w="100" w:type="dxa"/>
              <w:start w:w="110" w:type="dxa"/>
              <w:bottom w:w="100" w:type="dxa"/>
              <w:end w:w="110" w:type="dxa"/>
            </w:tcMar>
          </w:tcPr>
          <w:p>
            <w:pPr>
              <w:spacing w:after="0" w:line="259" w:lineRule="auto"/>
            </w:pPr>
            <w:r>
              <w:rPr>
                <w:sz w:val="17"/>
              </w:rPr>
              <w:t>Optimization</w:t>
            </w:r>
          </w:p>
        </w:tc>
        <w:tc>
          <w:tcPr>
            <w:tcW w:type="dxa" w:w="2448"/>
            <w:vAlign w:val="center"/>
            <w:tcMar>
              <w:top w:w="100" w:type="dxa"/>
              <w:start w:w="110" w:type="dxa"/>
              <w:bottom w:w="100" w:type="dxa"/>
              <w:end w:w="110" w:type="dxa"/>
            </w:tcMar>
          </w:tcPr>
          <w:p>
            <w:pPr>
              <w:spacing w:after="0" w:line="259" w:lineRule="auto"/>
            </w:pPr>
            <w:r>
              <w:rPr>
                <w:sz w:val="17"/>
              </w:rPr>
              <w:t>Changes trade retention and battery use to relieve a loading breach; uses fallback curtailment if required.</w:t>
            </w:r>
          </w:p>
        </w:tc>
        <w:tc>
          <w:tcPr>
            <w:tcW w:type="dxa" w:w="2664"/>
            <w:vAlign w:val="center"/>
            <w:tcMar>
              <w:top w:w="100" w:type="dxa"/>
              <w:start w:w="110" w:type="dxa"/>
              <w:bottom w:w="100" w:type="dxa"/>
              <w:end w:w="110" w:type="dxa"/>
            </w:tcMar>
          </w:tcPr>
          <w:p>
            <w:pPr>
              <w:spacing w:after="0" w:line="259" w:lineRule="auto"/>
            </w:pPr>
            <w:r>
              <w:rPr>
                <w:sz w:val="17"/>
              </w:rPr>
              <w:t>Trades, ticks, breach, battery state and grid limits</w:t>
            </w:r>
          </w:p>
        </w:tc>
        <w:tc>
          <w:tcPr>
            <w:tcW w:type="dxa" w:w="2016"/>
            <w:vAlign w:val="center"/>
            <w:tcMar>
              <w:top w:w="100" w:type="dxa"/>
              <w:start w:w="110" w:type="dxa"/>
              <w:bottom w:w="100" w:type="dxa"/>
              <w:end w:w="110" w:type="dxa"/>
            </w:tcMar>
          </w:tcPr>
          <w:p>
            <w:pPr>
              <w:spacing w:after="0" w:line="259" w:lineRule="auto"/>
            </w:pPr>
            <w:r>
              <w:rPr>
                <w:sz w:val="17"/>
              </w:rPr>
              <w:t>Reshape Plan with constrained orders and battery actions</w:t>
            </w:r>
          </w:p>
        </w:tc>
      </w:tr>
      <w:tr>
        <w:tc>
          <w:tcPr>
            <w:tcW w:type="dxa" w:w="1656"/>
            <w:vAlign w:val="center"/>
            <w:tcMar>
              <w:top w:w="100" w:type="dxa"/>
              <w:start w:w="110" w:type="dxa"/>
              <w:bottom w:w="100" w:type="dxa"/>
              <w:end w:w="110" w:type="dxa"/>
            </w:tcMar>
            <w:shd w:fill="F5F7F9"/>
          </w:tcPr>
          <w:p>
            <w:pPr>
              <w:spacing w:after="0" w:line="259" w:lineRule="auto"/>
            </w:pPr>
            <w:r>
              <w:rPr>
                <w:b/>
                <w:sz w:val="17"/>
              </w:rPr>
              <w:t>Transformer Health Agent</w:t>
            </w:r>
          </w:p>
        </w:tc>
        <w:tc>
          <w:tcPr>
            <w:tcW w:type="dxa" w:w="1296"/>
            <w:vAlign w:val="center"/>
            <w:tcMar>
              <w:top w:w="100" w:type="dxa"/>
              <w:start w:w="110" w:type="dxa"/>
              <w:bottom w:w="100" w:type="dxa"/>
              <w:end w:w="110" w:type="dxa"/>
            </w:tcMar>
            <w:shd w:fill="F5F7F9"/>
          </w:tcPr>
          <w:p>
            <w:pPr>
              <w:spacing w:after="0" w:line="259" w:lineRule="auto"/>
            </w:pPr>
            <w:r>
              <w:rPr>
                <w:sz w:val="17"/>
              </w:rPr>
              <w:t>Physics algorithm</w:t>
            </w:r>
          </w:p>
        </w:tc>
        <w:tc>
          <w:tcPr>
            <w:tcW w:type="dxa" w:w="2448"/>
            <w:vAlign w:val="center"/>
            <w:tcMar>
              <w:top w:w="100" w:type="dxa"/>
              <w:start w:w="110" w:type="dxa"/>
              <w:bottom w:w="100" w:type="dxa"/>
              <w:end w:w="110" w:type="dxa"/>
            </w:tcMar>
            <w:shd w:fill="F5F7F9"/>
          </w:tcPr>
          <w:p>
            <w:pPr>
              <w:spacing w:after="0" w:line="259" w:lineRule="auto"/>
            </w:pPr>
            <w:r>
              <w:rPr>
                <w:sz w:val="17"/>
              </w:rPr>
              <w:t>Calculates hot spot temperature, insulation ageing and a next block wear charge.</w:t>
            </w:r>
          </w:p>
        </w:tc>
        <w:tc>
          <w:tcPr>
            <w:tcW w:type="dxa" w:w="2664"/>
            <w:vAlign w:val="center"/>
            <w:tcMar>
              <w:top w:w="100" w:type="dxa"/>
              <w:start w:w="110" w:type="dxa"/>
              <w:bottom w:w="100" w:type="dxa"/>
              <w:end w:w="110" w:type="dxa"/>
            </w:tcMar>
            <w:shd w:fill="F5F7F9"/>
          </w:tcPr>
          <w:p>
            <w:pPr>
              <w:spacing w:after="0" w:line="259" w:lineRule="auto"/>
            </w:pPr>
            <w:r>
              <w:rPr>
                <w:sz w:val="17"/>
              </w:rPr>
              <w:t>Net transformer load, ambient temperature, rating and thermal parameters</w:t>
            </w:r>
          </w:p>
        </w:tc>
        <w:tc>
          <w:tcPr>
            <w:tcW w:type="dxa" w:w="2016"/>
            <w:vAlign w:val="center"/>
            <w:tcMar>
              <w:top w:w="100" w:type="dxa"/>
              <w:start w:w="110" w:type="dxa"/>
              <w:bottom w:w="100" w:type="dxa"/>
              <w:end w:w="110" w:type="dxa"/>
            </w:tcMar>
            <w:shd w:fill="F5F7F9"/>
          </w:tcPr>
          <w:p>
            <w:pPr>
              <w:spacing w:after="0" w:line="259" w:lineRule="auto"/>
            </w:pPr>
            <w:r>
              <w:rPr>
                <w:sz w:val="17"/>
              </w:rPr>
              <w:t>Ageing Result and transformer states</w:t>
            </w:r>
          </w:p>
        </w:tc>
      </w:tr>
      <w:tr>
        <w:tc>
          <w:tcPr>
            <w:tcW w:type="dxa" w:w="1656"/>
            <w:vAlign w:val="center"/>
            <w:tcMar>
              <w:top w:w="100" w:type="dxa"/>
              <w:start w:w="110" w:type="dxa"/>
              <w:bottom w:w="100" w:type="dxa"/>
              <w:end w:w="110" w:type="dxa"/>
            </w:tcMar>
          </w:tcPr>
          <w:p>
            <w:pPr>
              <w:spacing w:after="0" w:line="259" w:lineRule="auto"/>
            </w:pPr>
            <w:r>
              <w:rPr>
                <w:b/>
                <w:sz w:val="17"/>
              </w:rPr>
              <w:t>Settlement Agent</w:t>
            </w:r>
          </w:p>
        </w:tc>
        <w:tc>
          <w:tcPr>
            <w:tcW w:type="dxa" w:w="1296"/>
            <w:vAlign w:val="center"/>
            <w:tcMar>
              <w:top w:w="100" w:type="dxa"/>
              <w:start w:w="110" w:type="dxa"/>
              <w:bottom w:w="100" w:type="dxa"/>
              <w:end w:w="110" w:type="dxa"/>
            </w:tcMar>
          </w:tcPr>
          <w:p>
            <w:pPr>
              <w:spacing w:after="0" w:line="259" w:lineRule="auto"/>
            </w:pPr>
            <w:r>
              <w:rPr>
                <w:sz w:val="17"/>
              </w:rPr>
              <w:t>Algorithmic</w:t>
            </w:r>
          </w:p>
        </w:tc>
        <w:tc>
          <w:tcPr>
            <w:tcW w:type="dxa" w:w="2448"/>
            <w:vAlign w:val="center"/>
            <w:tcMar>
              <w:top w:w="100" w:type="dxa"/>
              <w:start w:w="110" w:type="dxa"/>
              <w:bottom w:w="100" w:type="dxa"/>
              <w:end w:w="110" w:type="dxa"/>
            </w:tcMar>
          </w:tcPr>
          <w:p>
            <w:pPr>
              <w:spacing w:after="0" w:line="259" w:lineRule="auto"/>
            </w:pPr>
            <w:r>
              <w:rPr>
                <w:sz w:val="17"/>
              </w:rPr>
              <w:t>Creates buyer and seller ledger lines and applies losses and DISCOM charges.</w:t>
            </w:r>
          </w:p>
        </w:tc>
        <w:tc>
          <w:tcPr>
            <w:tcW w:type="dxa" w:w="2664"/>
            <w:vAlign w:val="center"/>
            <w:tcMar>
              <w:top w:w="100" w:type="dxa"/>
              <w:start w:w="110" w:type="dxa"/>
              <w:bottom w:w="100" w:type="dxa"/>
              <w:end w:w="110" w:type="dxa"/>
            </w:tcMar>
          </w:tcPr>
          <w:p>
            <w:pPr>
              <w:spacing w:after="0" w:line="259" w:lineRule="auto"/>
            </w:pPr>
            <w:r>
              <w:rPr>
                <w:sz w:val="17"/>
              </w:rPr>
              <w:t>Final trades, tariffs, transmission losses and ageing adder</w:t>
            </w:r>
          </w:p>
        </w:tc>
        <w:tc>
          <w:tcPr>
            <w:tcW w:type="dxa" w:w="2016"/>
            <w:vAlign w:val="center"/>
            <w:tcMar>
              <w:top w:w="100" w:type="dxa"/>
              <w:start w:w="110" w:type="dxa"/>
              <w:bottom w:w="100" w:type="dxa"/>
              <w:end w:w="110" w:type="dxa"/>
            </w:tcMar>
          </w:tcPr>
          <w:p>
            <w:pPr>
              <w:spacing w:after="0" w:line="259" w:lineRule="auto"/>
            </w:pPr>
            <w:r>
              <w:rPr>
                <w:sz w:val="17"/>
              </w:rPr>
              <w:t>Bill Lines, charges collected and ledger</w:t>
            </w:r>
          </w:p>
        </w:tc>
      </w:tr>
    </w:tbl>
    <w:p>
      <w:pPr>
        <w:pStyle w:val="Heading1"/>
      </w:pPr>
      <w:r>
        <w:t>Supporting components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04"/>
            <w:shd w:fill="18324A"/>
            <w:tcMar>
              <w:top w:w="100" w:type="dxa"/>
              <w:start w:w="110" w:type="dxa"/>
              <w:bottom w:w="100" w:type="dxa"/>
              <w:end w:w="110" w:type="dxa"/>
            </w:tcMar>
            <w:vAlign w:val="center"/>
          </w:tcPr>
          <w:p>
            <w:pPr>
              <w:spacing w:after="0"/>
            </w:pPr>
            <w:r>
              <w:rPr>
                <w:b/>
                <w:color w:val="FFFFFF"/>
                <w:sz w:val="19"/>
              </w:rPr>
              <w:t>Component</w:t>
            </w:r>
          </w:p>
        </w:tc>
        <w:tc>
          <w:tcPr>
            <w:tcW w:type="dxa" w:w="7776"/>
            <w:shd w:fill="18324A"/>
            <w:tcMar>
              <w:top w:w="100" w:type="dxa"/>
              <w:start w:w="110" w:type="dxa"/>
              <w:bottom w:w="100" w:type="dxa"/>
              <w:end w:w="110" w:type="dxa"/>
            </w:tcMar>
            <w:vAlign w:val="center"/>
          </w:tcPr>
          <w:p>
            <w:pPr>
              <w:spacing w:after="0"/>
            </w:pPr>
            <w:r>
              <w:rPr>
                <w:b/>
                <w:color w:val="FFFFFF"/>
                <w:sz w:val="19"/>
              </w:rPr>
              <w:t>Responsibility</w:t>
            </w:r>
          </w:p>
        </w:tc>
      </w:tr>
      <w:tr>
        <w:tc>
          <w:tcPr>
            <w:tcW w:type="dxa" w:w="2304"/>
            <w:vAlign w:val="center"/>
            <w:tcMar>
              <w:top w:w="100" w:type="dxa"/>
              <w:start w:w="110" w:type="dxa"/>
              <w:bottom w:w="100" w:type="dxa"/>
              <w:end w:w="110" w:type="dxa"/>
            </w:tcMar>
          </w:tcPr>
          <w:p>
            <w:pPr>
              <w:spacing w:after="0" w:line="259" w:lineRule="auto"/>
            </w:pPr>
            <w:r>
              <w:rPr>
                <w:b/>
                <w:sz w:val="19"/>
              </w:rPr>
              <w:t>Runner</w:t>
            </w:r>
          </w:p>
        </w:tc>
        <w:tc>
          <w:tcPr>
            <w:tcW w:type="dxa" w:w="7776"/>
            <w:vAlign w:val="center"/>
            <w:tcMar>
              <w:top w:w="100" w:type="dxa"/>
              <w:start w:w="110" w:type="dxa"/>
              <w:bottom w:w="100" w:type="dxa"/>
              <w:end w:w="110" w:type="dxa"/>
            </w:tcMar>
          </w:tcPr>
          <w:p>
            <w:pPr>
              <w:spacing w:after="0" w:line="259" w:lineRule="auto"/>
            </w:pPr>
            <w:r>
              <w:rPr>
                <w:sz w:val="19"/>
              </w:rPr>
              <w:t>Orchestrates the seven stage block sequence and enforces the two pass limit.</w:t>
            </w:r>
          </w:p>
        </w:tc>
      </w:tr>
      <w:tr>
        <w:tc>
          <w:tcPr>
            <w:tcW w:type="dxa" w:w="2304"/>
            <w:vAlign w:val="center"/>
            <w:tcMar>
              <w:top w:w="100" w:type="dxa"/>
              <w:start w:w="110" w:type="dxa"/>
              <w:bottom w:w="100" w:type="dxa"/>
              <w:end w:w="110" w:type="dxa"/>
            </w:tcMar>
            <w:shd w:fill="F5F7F9"/>
          </w:tcPr>
          <w:p>
            <w:pPr>
              <w:spacing w:after="0" w:line="259" w:lineRule="auto"/>
            </w:pPr>
            <w:r>
              <w:rPr>
                <w:b/>
                <w:sz w:val="19"/>
              </w:rPr>
              <w:t>Agent Pool</w:t>
            </w:r>
          </w:p>
        </w:tc>
        <w:tc>
          <w:tcPr>
            <w:tcW w:type="dxa" w:w="7776"/>
            <w:vAlign w:val="center"/>
            <w:tcMar>
              <w:top w:w="100" w:type="dxa"/>
              <w:start w:w="110" w:type="dxa"/>
              <w:bottom w:w="100" w:type="dxa"/>
              <w:end w:w="110" w:type="dxa"/>
            </w:tcMar>
            <w:shd w:fill="F5F7F9"/>
          </w:tcPr>
          <w:p>
            <w:pPr>
              <w:spacing w:after="0" w:line="259" w:lineRule="auto"/>
            </w:pPr>
            <w:r>
              <w:rPr>
                <w:sz w:val="19"/>
              </w:rPr>
              <w:t>Owns all prosumer and consumer instances and forwards settlement feedback.</w:t>
            </w:r>
          </w:p>
        </w:tc>
      </w:tr>
      <w:tr>
        <w:tc>
          <w:tcPr>
            <w:tcW w:type="dxa" w:w="2304"/>
            <w:vAlign w:val="center"/>
            <w:tcMar>
              <w:top w:w="100" w:type="dxa"/>
              <w:start w:w="110" w:type="dxa"/>
              <w:bottom w:w="100" w:type="dxa"/>
              <w:end w:w="110" w:type="dxa"/>
            </w:tcMar>
          </w:tcPr>
          <w:p>
            <w:pPr>
              <w:spacing w:after="0" w:line="259" w:lineRule="auto"/>
            </w:pPr>
            <w:r>
              <w:rPr>
                <w:b/>
                <w:sz w:val="19"/>
              </w:rPr>
              <w:t>Battery Book</w:t>
            </w:r>
          </w:p>
        </w:tc>
        <w:tc>
          <w:tcPr>
            <w:tcW w:type="dxa" w:w="7776"/>
            <w:vAlign w:val="center"/>
            <w:tcMar>
              <w:top w:w="100" w:type="dxa"/>
              <w:start w:w="110" w:type="dxa"/>
              <w:bottom w:w="100" w:type="dxa"/>
              <w:end w:w="110" w:type="dxa"/>
            </w:tcMar>
          </w:tcPr>
          <w:p>
            <w:pPr>
              <w:spacing w:after="0" w:line="259" w:lineRule="auto"/>
            </w:pPr>
            <w:r>
              <w:rPr>
                <w:sz w:val="19"/>
              </w:rPr>
              <w:t>Tracks battery energy, ownership claims, capacity and charge or discharge limits.</w:t>
            </w:r>
          </w:p>
        </w:tc>
      </w:tr>
      <w:tr>
        <w:tc>
          <w:tcPr>
            <w:tcW w:type="dxa" w:w="2304"/>
            <w:vAlign w:val="center"/>
            <w:tcMar>
              <w:top w:w="100" w:type="dxa"/>
              <w:start w:w="110" w:type="dxa"/>
              <w:bottom w:w="100" w:type="dxa"/>
              <w:end w:w="110" w:type="dxa"/>
            </w:tcMar>
            <w:shd w:fill="F5F7F9"/>
          </w:tcPr>
          <w:p>
            <w:pPr>
              <w:spacing w:after="0" w:line="259" w:lineRule="auto"/>
            </w:pPr>
            <w:r>
              <w:rPr>
                <w:b/>
                <w:sz w:val="19"/>
              </w:rPr>
              <w:t>Event Bus</w:t>
            </w:r>
          </w:p>
        </w:tc>
        <w:tc>
          <w:tcPr>
            <w:tcW w:type="dxa" w:w="7776"/>
            <w:vAlign w:val="center"/>
            <w:tcMar>
              <w:top w:w="100" w:type="dxa"/>
              <w:start w:w="110" w:type="dxa"/>
              <w:bottom w:w="100" w:type="dxa"/>
              <w:end w:w="110" w:type="dxa"/>
            </w:tcMar>
            <w:shd w:fill="F5F7F9"/>
          </w:tcPr>
          <w:p>
            <w:pPr>
              <w:spacing w:after="0" w:line="259" w:lineRule="auto"/>
            </w:pPr>
            <w:r>
              <w:rPr>
                <w:sz w:val="19"/>
              </w:rPr>
              <w:t>Publishes ordered events for observability and the future WebSocket stream.</w:t>
            </w:r>
          </w:p>
        </w:tc>
      </w:tr>
      <w:tr>
        <w:tc>
          <w:tcPr>
            <w:tcW w:type="dxa" w:w="2304"/>
            <w:vAlign w:val="center"/>
            <w:tcMar>
              <w:top w:w="100" w:type="dxa"/>
              <w:start w:w="110" w:type="dxa"/>
              <w:bottom w:w="100" w:type="dxa"/>
              <w:end w:w="110" w:type="dxa"/>
            </w:tcMar>
          </w:tcPr>
          <w:p>
            <w:pPr>
              <w:spacing w:after="0" w:line="259" w:lineRule="auto"/>
            </w:pPr>
            <w:r>
              <w:rPr>
                <w:b/>
                <w:sz w:val="19"/>
              </w:rPr>
              <w:t>Persistence</w:t>
            </w:r>
          </w:p>
        </w:tc>
        <w:tc>
          <w:tcPr>
            <w:tcW w:type="dxa" w:w="7776"/>
            <w:vAlign w:val="center"/>
            <w:tcMar>
              <w:top w:w="100" w:type="dxa"/>
              <w:start w:w="110" w:type="dxa"/>
              <w:bottom w:w="100" w:type="dxa"/>
              <w:end w:w="110" w:type="dxa"/>
            </w:tcMar>
          </w:tcPr>
          <w:p>
            <w:pPr>
              <w:spacing w:after="0" w:line="259" w:lineRule="auto"/>
            </w:pPr>
            <w:r>
              <w:rPr>
                <w:sz w:val="19"/>
              </w:rPr>
              <w:t>Atomically writes ticks, orders, trades, bills and transformer state to SQLite.</w:t>
            </w:r>
          </w:p>
        </w:tc>
      </w:tr>
    </w:tbl>
    <w:p>
      <w:r>
        <w:br w:type="page"/>
      </w:r>
    </w:p>
    <w:p>
      <w:pPr>
        <w:pStyle w:val="Heading1"/>
      </w:pPr>
      <w:r>
        <w:t>Data used by the network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2448"/>
            <w:shd w:fill="18324A"/>
            <w:tcMar>
              <w:top w:w="100" w:type="dxa"/>
              <w:start w:w="110" w:type="dxa"/>
              <w:bottom w:w="100" w:type="dxa"/>
              <w:end w:w="110" w:type="dxa"/>
            </w:tcMar>
            <w:vAlign w:val="center"/>
          </w:tcPr>
          <w:p>
            <w:pPr>
              <w:spacing w:after="0"/>
            </w:pPr>
            <w:r>
              <w:rPr>
                <w:b/>
                <w:color w:val="FFFFFF"/>
                <w:sz w:val="19"/>
              </w:rPr>
              <w:t>Source</w:t>
            </w:r>
          </w:p>
        </w:tc>
        <w:tc>
          <w:tcPr>
            <w:tcW w:type="dxa" w:w="2952"/>
            <w:shd w:fill="18324A"/>
            <w:tcMar>
              <w:top w:w="100" w:type="dxa"/>
              <w:start w:w="110" w:type="dxa"/>
              <w:bottom w:w="100" w:type="dxa"/>
              <w:end w:w="110" w:type="dxa"/>
            </w:tcMar>
            <w:vAlign w:val="center"/>
          </w:tcPr>
          <w:p>
            <w:pPr>
              <w:spacing w:after="0"/>
            </w:pPr>
            <w:r>
              <w:rPr>
                <w:b/>
                <w:color w:val="FFFFFF"/>
                <w:sz w:val="19"/>
              </w:rPr>
              <w:t>Contains</w:t>
            </w:r>
          </w:p>
        </w:tc>
        <w:tc>
          <w:tcPr>
            <w:tcW w:type="dxa" w:w="3312"/>
            <w:shd w:fill="18324A"/>
            <w:tcMar>
              <w:top w:w="100" w:type="dxa"/>
              <w:start w:w="110" w:type="dxa"/>
              <w:bottom w:w="100" w:type="dxa"/>
              <w:end w:w="110" w:type="dxa"/>
            </w:tcMar>
            <w:vAlign w:val="center"/>
          </w:tcPr>
          <w:p>
            <w:pPr>
              <w:spacing w:after="0"/>
            </w:pPr>
            <w:r>
              <w:rPr>
                <w:b/>
                <w:color w:val="FFFFFF"/>
                <w:sz w:val="19"/>
              </w:rPr>
              <w:t>Used by</w:t>
            </w:r>
          </w:p>
        </w:tc>
        <w:tc>
          <w:tcPr>
            <w:tcW w:type="dxa" w:w="1368"/>
            <w:shd w:fill="18324A"/>
            <w:tcMar>
              <w:top w:w="100" w:type="dxa"/>
              <w:start w:w="110" w:type="dxa"/>
              <w:bottom w:w="100" w:type="dxa"/>
              <w:end w:w="110" w:type="dxa"/>
            </w:tcMar>
            <w:vAlign w:val="center"/>
          </w:tcPr>
          <w:p>
            <w:pPr>
              <w:spacing w:after="0"/>
            </w:pPr>
            <w:r>
              <w:rPr>
                <w:b/>
                <w:color w:val="FFFFFF"/>
                <w:sz w:val="19"/>
              </w:rPr>
              <w:t>Status</w:t>
            </w:r>
          </w:p>
        </w:tc>
      </w:tr>
      <w:tr>
        <w:tc>
          <w:tcPr>
            <w:tcW w:type="dxa" w:w="2448"/>
            <w:vAlign w:val="center"/>
            <w:tcMar>
              <w:top w:w="100" w:type="dxa"/>
              <w:start w:w="110" w:type="dxa"/>
              <w:bottom w:w="100" w:type="dxa"/>
              <w:end w:w="110" w:type="dxa"/>
            </w:tcMar>
          </w:tcPr>
          <w:p>
            <w:pPr>
              <w:spacing w:after="0" w:line="259" w:lineRule="auto"/>
            </w:pPr>
            <w:r>
              <w:rPr>
                <w:b/>
                <w:sz w:val="18"/>
              </w:rPr>
              <w:t>smart_meters.csv</w:t>
            </w:r>
          </w:p>
        </w:tc>
        <w:tc>
          <w:tcPr>
            <w:tcW w:type="dxa" w:w="2952"/>
            <w:vAlign w:val="center"/>
            <w:tcMar>
              <w:top w:w="100" w:type="dxa"/>
              <w:start w:w="110" w:type="dxa"/>
              <w:bottom w:w="100" w:type="dxa"/>
              <w:end w:w="110" w:type="dxa"/>
            </w:tcMar>
          </w:tcPr>
          <w:p>
            <w:pPr>
              <w:spacing w:after="0" w:line="259" w:lineRule="auto"/>
            </w:pPr>
            <w:r>
              <w:rPr>
                <w:sz w:val="18"/>
              </w:rPr>
              <w:t>Hourly household consumption</w:t>
            </w:r>
          </w:p>
        </w:tc>
        <w:tc>
          <w:tcPr>
            <w:tcW w:type="dxa" w:w="3312"/>
            <w:vAlign w:val="center"/>
            <w:tcMar>
              <w:top w:w="100" w:type="dxa"/>
              <w:start w:w="110" w:type="dxa"/>
              <w:bottom w:w="100" w:type="dxa"/>
              <w:end w:w="110" w:type="dxa"/>
            </w:tcMar>
          </w:tcPr>
          <w:p>
            <w:pPr>
              <w:spacing w:after="0" w:line="259" w:lineRule="auto"/>
            </w:pPr>
            <w:r>
              <w:rPr>
                <w:sz w:val="18"/>
              </w:rPr>
              <w:t>Feed and all downstream agents</w:t>
            </w:r>
          </w:p>
        </w:tc>
        <w:tc>
          <w:tcPr>
            <w:tcW w:type="dxa" w:w="1368"/>
            <w:vAlign w:val="center"/>
            <w:tcMar>
              <w:top w:w="100" w:type="dxa"/>
              <w:start w:w="110" w:type="dxa"/>
              <w:bottom w:w="100" w:type="dxa"/>
              <w:end w:w="110" w:type="dxa"/>
            </w:tcMar>
            <w:shd w:fill="E8F3EC"/>
          </w:tcPr>
          <w:p>
            <w:pPr>
              <w:spacing w:after="0" w:line="259" w:lineRule="auto"/>
            </w:pPr>
            <w:r>
              <w:rPr>
                <w:sz w:val="18"/>
              </w:rPr>
              <w:t>Active</w:t>
            </w:r>
          </w:p>
        </w:tc>
      </w:tr>
      <w:tr>
        <w:tc>
          <w:tcPr>
            <w:tcW w:type="dxa" w:w="2448"/>
            <w:vAlign w:val="center"/>
            <w:tcMar>
              <w:top w:w="100" w:type="dxa"/>
              <w:start w:w="110" w:type="dxa"/>
              <w:bottom w:w="100" w:type="dxa"/>
              <w:end w:w="110" w:type="dxa"/>
            </w:tcMar>
            <w:shd w:fill="F5F7F9"/>
          </w:tcPr>
          <w:p>
            <w:pPr>
              <w:spacing w:after="0" w:line="259" w:lineRule="auto"/>
            </w:pPr>
            <w:r>
              <w:rPr>
                <w:b/>
                <w:sz w:val="18"/>
              </w:rPr>
              <w:t>solar_inverters.csv</w:t>
            </w:r>
          </w:p>
        </w:tc>
        <w:tc>
          <w:tcPr>
            <w:tcW w:type="dxa" w:w="2952"/>
            <w:vAlign w:val="center"/>
            <w:tcMar>
              <w:top w:w="100" w:type="dxa"/>
              <w:start w:w="110" w:type="dxa"/>
              <w:bottom w:w="100" w:type="dxa"/>
              <w:end w:w="110" w:type="dxa"/>
            </w:tcMar>
            <w:shd w:fill="F5F7F9"/>
          </w:tcPr>
          <w:p>
            <w:pPr>
              <w:spacing w:after="0" w:line="259" w:lineRule="auto"/>
            </w:pPr>
            <w:r>
              <w:rPr>
                <w:sz w:val="18"/>
              </w:rPr>
              <w:t>Hourly rooftop generation</w:t>
            </w:r>
          </w:p>
        </w:tc>
        <w:tc>
          <w:tcPr>
            <w:tcW w:type="dxa" w:w="3312"/>
            <w:vAlign w:val="center"/>
            <w:tcMar>
              <w:top w:w="100" w:type="dxa"/>
              <w:start w:w="110" w:type="dxa"/>
              <w:bottom w:w="100" w:type="dxa"/>
              <w:end w:w="110" w:type="dxa"/>
            </w:tcMar>
            <w:shd w:fill="F5F7F9"/>
          </w:tcPr>
          <w:p>
            <w:pPr>
              <w:spacing w:after="0" w:line="259" w:lineRule="auto"/>
            </w:pPr>
            <w:r>
              <w:rPr>
                <w:sz w:val="18"/>
              </w:rPr>
              <w:t>Feed, prosumer and consumer forecasts</w:t>
            </w:r>
          </w:p>
        </w:tc>
        <w:tc>
          <w:tcPr>
            <w:tcW w:type="dxa" w:w="1368"/>
            <w:vAlign w:val="center"/>
            <w:tcMar>
              <w:top w:w="100" w:type="dxa"/>
              <w:start w:w="110" w:type="dxa"/>
              <w:bottom w:w="100" w:type="dxa"/>
              <w:end w:w="110" w:type="dxa"/>
            </w:tcMar>
            <w:shd w:fill="E8F3EC"/>
          </w:tcPr>
          <w:p>
            <w:pPr>
              <w:spacing w:after="0" w:line="259" w:lineRule="auto"/>
            </w:pPr>
            <w:r>
              <w:rPr>
                <w:sz w:val="18"/>
              </w:rPr>
              <w:t>Active</w:t>
            </w:r>
          </w:p>
        </w:tc>
      </w:tr>
      <w:tr>
        <w:tc>
          <w:tcPr>
            <w:tcW w:type="dxa" w:w="2448"/>
            <w:vAlign w:val="center"/>
            <w:tcMar>
              <w:top w:w="100" w:type="dxa"/>
              <w:start w:w="110" w:type="dxa"/>
              <w:bottom w:w="100" w:type="dxa"/>
              <w:end w:w="110" w:type="dxa"/>
            </w:tcMar>
          </w:tcPr>
          <w:p>
            <w:pPr>
              <w:spacing w:after="0" w:line="259" w:lineRule="auto"/>
            </w:pPr>
            <w:r>
              <w:rPr>
                <w:b/>
                <w:sz w:val="18"/>
              </w:rPr>
              <w:t>ev_charging_hubs.csv</w:t>
            </w:r>
          </w:p>
        </w:tc>
        <w:tc>
          <w:tcPr>
            <w:tcW w:type="dxa" w:w="2952"/>
            <w:vAlign w:val="center"/>
            <w:tcMar>
              <w:top w:w="100" w:type="dxa"/>
              <w:start w:w="110" w:type="dxa"/>
              <w:bottom w:w="100" w:type="dxa"/>
              <w:end w:w="110" w:type="dxa"/>
            </w:tcMar>
          </w:tcPr>
          <w:p>
            <w:pPr>
              <w:spacing w:after="0" w:line="259" w:lineRule="auto"/>
            </w:pPr>
            <w:r>
              <w:rPr>
                <w:sz w:val="18"/>
              </w:rPr>
              <w:t>Transformer level EV demand</w:t>
            </w:r>
          </w:p>
        </w:tc>
        <w:tc>
          <w:tcPr>
            <w:tcW w:type="dxa" w:w="3312"/>
            <w:vAlign w:val="center"/>
            <w:tcMar>
              <w:top w:w="100" w:type="dxa"/>
              <w:start w:w="110" w:type="dxa"/>
              <w:bottom w:w="100" w:type="dxa"/>
              <w:end w:w="110" w:type="dxa"/>
            </w:tcMar>
          </w:tcPr>
          <w:p>
            <w:pPr>
              <w:spacing w:after="0" w:line="259" w:lineRule="auto"/>
            </w:pPr>
            <w:r>
              <w:rPr>
                <w:sz w:val="18"/>
              </w:rPr>
              <w:t>Feed as four pseudo premises</w:t>
            </w:r>
          </w:p>
        </w:tc>
        <w:tc>
          <w:tcPr>
            <w:tcW w:type="dxa" w:w="1368"/>
            <w:vAlign w:val="center"/>
            <w:tcMar>
              <w:top w:w="100" w:type="dxa"/>
              <w:start w:w="110" w:type="dxa"/>
              <w:bottom w:w="100" w:type="dxa"/>
              <w:end w:w="110" w:type="dxa"/>
            </w:tcMar>
            <w:shd w:fill="E8F3EC"/>
          </w:tcPr>
          <w:p>
            <w:pPr>
              <w:spacing w:after="0" w:line="259" w:lineRule="auto"/>
            </w:pPr>
            <w:r>
              <w:rPr>
                <w:sz w:val="18"/>
              </w:rPr>
              <w:t>Active</w:t>
            </w:r>
          </w:p>
        </w:tc>
      </w:tr>
      <w:tr>
        <w:tc>
          <w:tcPr>
            <w:tcW w:type="dxa" w:w="2448"/>
            <w:vAlign w:val="center"/>
            <w:tcMar>
              <w:top w:w="100" w:type="dxa"/>
              <w:start w:w="110" w:type="dxa"/>
              <w:bottom w:w="100" w:type="dxa"/>
              <w:end w:w="110" w:type="dxa"/>
            </w:tcMar>
            <w:shd w:fill="F5F7F9"/>
          </w:tcPr>
          <w:p>
            <w:pPr>
              <w:spacing w:after="0" w:line="259" w:lineRule="auto"/>
            </w:pPr>
            <w:r>
              <w:rPr>
                <w:b/>
                <w:sz w:val="18"/>
              </w:rPr>
              <w:t>weather.csv</w:t>
            </w:r>
          </w:p>
        </w:tc>
        <w:tc>
          <w:tcPr>
            <w:tcW w:type="dxa" w:w="2952"/>
            <w:vAlign w:val="center"/>
            <w:tcMar>
              <w:top w:w="100" w:type="dxa"/>
              <w:start w:w="110" w:type="dxa"/>
              <w:bottom w:w="100" w:type="dxa"/>
              <w:end w:w="110" w:type="dxa"/>
            </w:tcMar>
            <w:shd w:fill="F5F7F9"/>
          </w:tcPr>
          <w:p>
            <w:pPr>
              <w:spacing w:after="0" w:line="259" w:lineRule="auto"/>
            </w:pPr>
            <w:r>
              <w:rPr>
                <w:sz w:val="18"/>
              </w:rPr>
              <w:t>Hourly ambient temperature</w:t>
            </w:r>
          </w:p>
        </w:tc>
        <w:tc>
          <w:tcPr>
            <w:tcW w:type="dxa" w:w="3312"/>
            <w:vAlign w:val="center"/>
            <w:tcMar>
              <w:top w:w="100" w:type="dxa"/>
              <w:start w:w="110" w:type="dxa"/>
              <w:bottom w:w="100" w:type="dxa"/>
              <w:end w:w="110" w:type="dxa"/>
            </w:tcMar>
            <w:shd w:fill="F5F7F9"/>
          </w:tcPr>
          <w:p>
            <w:pPr>
              <w:spacing w:after="0" w:line="259" w:lineRule="auto"/>
            </w:pPr>
            <w:r>
              <w:rPr>
                <w:sz w:val="18"/>
              </w:rPr>
              <w:t>Thermal health calculation</w:t>
            </w:r>
          </w:p>
        </w:tc>
        <w:tc>
          <w:tcPr>
            <w:tcW w:type="dxa" w:w="1368"/>
            <w:vAlign w:val="center"/>
            <w:tcMar>
              <w:top w:w="100" w:type="dxa"/>
              <w:start w:w="110" w:type="dxa"/>
              <w:bottom w:w="100" w:type="dxa"/>
              <w:end w:w="110" w:type="dxa"/>
            </w:tcMar>
            <w:shd w:fill="E8F3EC"/>
          </w:tcPr>
          <w:p>
            <w:pPr>
              <w:spacing w:after="0" w:line="259" w:lineRule="auto"/>
            </w:pPr>
            <w:r>
              <w:rPr>
                <w:sz w:val="18"/>
              </w:rPr>
              <w:t>Active</w:t>
            </w:r>
          </w:p>
        </w:tc>
      </w:tr>
      <w:tr>
        <w:tc>
          <w:tcPr>
            <w:tcW w:type="dxa" w:w="2448"/>
            <w:vAlign w:val="center"/>
            <w:tcMar>
              <w:top w:w="100" w:type="dxa"/>
              <w:start w:w="110" w:type="dxa"/>
              <w:bottom w:w="100" w:type="dxa"/>
              <w:end w:w="110" w:type="dxa"/>
            </w:tcMar>
          </w:tcPr>
          <w:p>
            <w:pPr>
              <w:spacing w:after="0" w:line="259" w:lineRule="auto"/>
            </w:pPr>
            <w:r>
              <w:rPr>
                <w:b/>
                <w:sz w:val="18"/>
              </w:rPr>
              <w:t>device_registry.json</w:t>
            </w:r>
          </w:p>
        </w:tc>
        <w:tc>
          <w:tcPr>
            <w:tcW w:type="dxa" w:w="2952"/>
            <w:vAlign w:val="center"/>
            <w:tcMar>
              <w:top w:w="100" w:type="dxa"/>
              <w:start w:w="110" w:type="dxa"/>
              <w:bottom w:w="100" w:type="dxa"/>
              <w:end w:w="110" w:type="dxa"/>
            </w:tcMar>
          </w:tcPr>
          <w:p>
            <w:pPr>
              <w:spacing w:after="0" w:line="259" w:lineRule="auto"/>
            </w:pPr>
            <w:r>
              <w:rPr>
                <w:sz w:val="18"/>
              </w:rPr>
              <w:t>Transformer mapping, PV and battery capacities, location and loss</w:t>
            </w:r>
          </w:p>
        </w:tc>
        <w:tc>
          <w:tcPr>
            <w:tcW w:type="dxa" w:w="3312"/>
            <w:vAlign w:val="center"/>
            <w:tcMar>
              <w:top w:w="100" w:type="dxa"/>
              <w:start w:w="110" w:type="dxa"/>
              <w:bottom w:w="100" w:type="dxa"/>
              <w:end w:w="110" w:type="dxa"/>
            </w:tcMar>
          </w:tcPr>
          <w:p>
            <w:pPr>
              <w:spacing w:after="0" w:line="259" w:lineRule="auto"/>
            </w:pPr>
            <w:r>
              <w:rPr>
                <w:sz w:val="18"/>
              </w:rPr>
              <w:t>Topology, settlement and UI scene</w:t>
            </w:r>
          </w:p>
        </w:tc>
        <w:tc>
          <w:tcPr>
            <w:tcW w:type="dxa" w:w="1368"/>
            <w:vAlign w:val="center"/>
            <w:tcMar>
              <w:top w:w="100" w:type="dxa"/>
              <w:start w:w="110" w:type="dxa"/>
              <w:bottom w:w="100" w:type="dxa"/>
              <w:end w:w="110" w:type="dxa"/>
            </w:tcMar>
            <w:shd w:fill="E8F3EC"/>
          </w:tcPr>
          <w:p>
            <w:pPr>
              <w:spacing w:after="0" w:line="259" w:lineRule="auto"/>
            </w:pPr>
            <w:r>
              <w:rPr>
                <w:sz w:val="18"/>
              </w:rPr>
              <w:t>Active</w:t>
            </w:r>
          </w:p>
        </w:tc>
      </w:tr>
      <w:tr>
        <w:tc>
          <w:tcPr>
            <w:tcW w:type="dxa" w:w="2448"/>
            <w:vAlign w:val="center"/>
            <w:tcMar>
              <w:top w:w="100" w:type="dxa"/>
              <w:start w:w="110" w:type="dxa"/>
              <w:bottom w:w="100" w:type="dxa"/>
              <w:end w:w="110" w:type="dxa"/>
            </w:tcMar>
            <w:shd w:fill="F5F7F9"/>
          </w:tcPr>
          <w:p>
            <w:pPr>
              <w:spacing w:after="0" w:line="259" w:lineRule="auto"/>
            </w:pPr>
            <w:r>
              <w:rPr>
                <w:b/>
                <w:sz w:val="18"/>
              </w:rPr>
              <w:t>transformer_registry.json</w:t>
            </w:r>
          </w:p>
        </w:tc>
        <w:tc>
          <w:tcPr>
            <w:tcW w:type="dxa" w:w="2952"/>
            <w:vAlign w:val="center"/>
            <w:tcMar>
              <w:top w:w="100" w:type="dxa"/>
              <w:start w:w="110" w:type="dxa"/>
              <w:bottom w:w="100" w:type="dxa"/>
              <w:end w:w="110" w:type="dxa"/>
            </w:tcMar>
            <w:shd w:fill="F5F7F9"/>
          </w:tcPr>
          <w:p>
            <w:pPr>
              <w:spacing w:after="0" w:line="259" w:lineRule="auto"/>
            </w:pPr>
            <w:r>
              <w:rPr>
                <w:sz w:val="18"/>
              </w:rPr>
              <w:t>Transformer metadata and installed ratings</w:t>
            </w:r>
          </w:p>
        </w:tc>
        <w:tc>
          <w:tcPr>
            <w:tcW w:type="dxa" w:w="3312"/>
            <w:vAlign w:val="center"/>
            <w:tcMar>
              <w:top w:w="100" w:type="dxa"/>
              <w:start w:w="110" w:type="dxa"/>
              <w:bottom w:w="100" w:type="dxa"/>
              <w:end w:w="110" w:type="dxa"/>
            </w:tcMar>
            <w:shd w:fill="F5F7F9"/>
          </w:tcPr>
          <w:p>
            <w:pPr>
              <w:spacing w:after="0" w:line="259" w:lineRule="auto"/>
            </w:pPr>
            <w:r>
              <w:rPr>
                <w:sz w:val="18"/>
              </w:rPr>
              <w:t>Feed and topology</w:t>
            </w:r>
          </w:p>
        </w:tc>
        <w:tc>
          <w:tcPr>
            <w:tcW w:type="dxa" w:w="1368"/>
            <w:vAlign w:val="center"/>
            <w:tcMar>
              <w:top w:w="100" w:type="dxa"/>
              <w:start w:w="110" w:type="dxa"/>
              <w:bottom w:w="100" w:type="dxa"/>
              <w:end w:w="110" w:type="dxa"/>
            </w:tcMar>
            <w:shd w:fill="E8F3EC"/>
          </w:tcPr>
          <w:p>
            <w:pPr>
              <w:spacing w:after="0" w:line="259" w:lineRule="auto"/>
            </w:pPr>
            <w:r>
              <w:rPr>
                <w:sz w:val="18"/>
              </w:rPr>
              <w:t>Active with configured rating override</w:t>
            </w:r>
          </w:p>
        </w:tc>
      </w:tr>
      <w:tr>
        <w:tc>
          <w:tcPr>
            <w:tcW w:type="dxa" w:w="2448"/>
            <w:vAlign w:val="center"/>
            <w:tcMar>
              <w:top w:w="100" w:type="dxa"/>
              <w:start w:w="110" w:type="dxa"/>
              <w:bottom w:w="100" w:type="dxa"/>
              <w:end w:w="110" w:type="dxa"/>
            </w:tcMar>
          </w:tcPr>
          <w:p>
            <w:pPr>
              <w:spacing w:after="0" w:line="259" w:lineRule="auto"/>
            </w:pPr>
            <w:r>
              <w:rPr>
                <w:b/>
                <w:sz w:val="18"/>
              </w:rPr>
              <w:t>bangalore_real_reference_2024.csv</w:t>
            </w:r>
          </w:p>
        </w:tc>
        <w:tc>
          <w:tcPr>
            <w:tcW w:type="dxa" w:w="2952"/>
            <w:vAlign w:val="center"/>
            <w:tcMar>
              <w:top w:w="100" w:type="dxa"/>
              <w:start w:w="110" w:type="dxa"/>
              <w:bottom w:w="100" w:type="dxa"/>
              <w:end w:w="110" w:type="dxa"/>
            </w:tcMar>
          </w:tcPr>
          <w:p>
            <w:pPr>
              <w:spacing w:after="0" w:line="259" w:lineRule="auto"/>
            </w:pPr>
            <w:r>
              <w:rPr>
                <w:sz w:val="18"/>
              </w:rPr>
              <w:t>Daily demand and solar shape</w:t>
            </w:r>
          </w:p>
        </w:tc>
        <w:tc>
          <w:tcPr>
            <w:tcW w:type="dxa" w:w="3312"/>
            <w:vAlign w:val="center"/>
            <w:tcMar>
              <w:top w:w="100" w:type="dxa"/>
              <w:start w:w="110" w:type="dxa"/>
              <w:bottom w:w="100" w:type="dxa"/>
              <w:end w:w="110" w:type="dxa"/>
            </w:tcMar>
          </w:tcPr>
          <w:p>
            <w:pPr>
              <w:spacing w:after="0" w:line="259" w:lineRule="auto"/>
            </w:pPr>
            <w:r>
              <w:rPr>
                <w:sz w:val="18"/>
              </w:rPr>
              <w:t>Scales the representative day across 30 days</w:t>
            </w:r>
          </w:p>
        </w:tc>
        <w:tc>
          <w:tcPr>
            <w:tcW w:type="dxa" w:w="1368"/>
            <w:vAlign w:val="center"/>
            <w:tcMar>
              <w:top w:w="100" w:type="dxa"/>
              <w:start w:w="110" w:type="dxa"/>
              <w:bottom w:w="100" w:type="dxa"/>
              <w:end w:w="110" w:type="dxa"/>
            </w:tcMar>
            <w:shd w:fill="E8F3EC"/>
          </w:tcPr>
          <w:p>
            <w:pPr>
              <w:spacing w:after="0" w:line="259" w:lineRule="auto"/>
            </w:pPr>
            <w:r>
              <w:rPr>
                <w:sz w:val="18"/>
              </w:rPr>
              <w:t>Active</w:t>
            </w:r>
          </w:p>
        </w:tc>
      </w:tr>
      <w:tr>
        <w:tc>
          <w:tcPr>
            <w:tcW w:type="dxa" w:w="2448"/>
            <w:vAlign w:val="center"/>
            <w:tcMar>
              <w:top w:w="100" w:type="dxa"/>
              <w:start w:w="110" w:type="dxa"/>
              <w:bottom w:w="100" w:type="dxa"/>
              <w:end w:w="110" w:type="dxa"/>
            </w:tcMar>
            <w:shd w:fill="F5F7F9"/>
          </w:tcPr>
          <w:p>
            <w:pPr>
              <w:spacing w:after="0" w:line="259" w:lineRule="auto"/>
            </w:pPr>
            <w:r>
              <w:rPr>
                <w:b/>
                <w:sz w:val="18"/>
              </w:rPr>
              <w:t>home_batteries.csv</w:t>
            </w:r>
          </w:p>
        </w:tc>
        <w:tc>
          <w:tcPr>
            <w:tcW w:type="dxa" w:w="2952"/>
            <w:vAlign w:val="center"/>
            <w:tcMar>
              <w:top w:w="100" w:type="dxa"/>
              <w:start w:w="110" w:type="dxa"/>
              <w:bottom w:w="100" w:type="dxa"/>
              <w:end w:w="110" w:type="dxa"/>
            </w:tcMar>
            <w:shd w:fill="F5F7F9"/>
          </w:tcPr>
          <w:p>
            <w:pPr>
              <w:spacing w:after="0" w:line="259" w:lineRule="auto"/>
            </w:pPr>
            <w:r>
              <w:rPr>
                <w:sz w:val="18"/>
              </w:rPr>
              <w:t>Recorded battery telemetry</w:t>
            </w:r>
          </w:p>
        </w:tc>
        <w:tc>
          <w:tcPr>
            <w:tcW w:type="dxa" w:w="3312"/>
            <w:vAlign w:val="center"/>
            <w:tcMar>
              <w:top w:w="100" w:type="dxa"/>
              <w:start w:w="110" w:type="dxa"/>
              <w:bottom w:w="100" w:type="dxa"/>
              <w:end w:w="110" w:type="dxa"/>
            </w:tcMar>
            <w:shd w:fill="F5F7F9"/>
          </w:tcPr>
          <w:p>
            <w:pPr>
              <w:spacing w:after="0" w:line="259" w:lineRule="auto"/>
            </w:pPr>
            <w:r>
              <w:rPr>
                <w:sz w:val="18"/>
              </w:rPr>
              <w:t>Not loaded by WhitefieldFeed; BatteryBook starts from model state</w:t>
            </w:r>
          </w:p>
        </w:tc>
        <w:tc>
          <w:tcPr>
            <w:tcW w:type="dxa" w:w="1368"/>
            <w:vAlign w:val="center"/>
            <w:tcMar>
              <w:top w:w="100" w:type="dxa"/>
              <w:start w:w="110" w:type="dxa"/>
              <w:bottom w:w="100" w:type="dxa"/>
              <w:end w:w="110" w:type="dxa"/>
            </w:tcMar>
            <w:shd w:fill="FCE8E6"/>
          </w:tcPr>
          <w:p>
            <w:pPr>
              <w:spacing w:after="0" w:line="259" w:lineRule="auto"/>
            </w:pPr>
            <w:r>
              <w:rPr>
                <w:sz w:val="18"/>
              </w:rPr>
              <w:t>Disconnected</w:t>
            </w:r>
          </w:p>
        </w:tc>
      </w:tr>
    </w:tbl>
    <w:p>
      <w:pPr>
        <w:pStyle w:val="Heading1"/>
      </w:pPr>
      <w:r>
        <w:t>Data limitation</w:t>
      </w:r>
    </w:p>
    <w:p>
      <w:r>
        <w:t>The telemetry is physically modelled from published averages, not a live meter feed. One representative hourly day is scaled with the annual reference series. Transformer ratings are overridden in configuration so realistic demonstration breaches are reachable. These facts should be stated clearly during judging.</w:t>
      </w:r>
    </w:p>
    <w:p>
      <w:pPr>
        <w:pStyle w:val="Heading1"/>
      </w:pPr>
      <w:r>
        <w:t>Readable output files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160"/>
            <w:shd w:fill="18324A"/>
            <w:tcMar>
              <w:top w:w="100" w:type="dxa"/>
              <w:start w:w="110" w:type="dxa"/>
              <w:bottom w:w="100" w:type="dxa"/>
              <w:end w:w="110" w:type="dxa"/>
            </w:tcMar>
            <w:vAlign w:val="center"/>
          </w:tcPr>
          <w:p>
            <w:pPr>
              <w:spacing w:after="0"/>
            </w:pPr>
            <w:r>
              <w:rPr>
                <w:b/>
                <w:color w:val="FFFFFF"/>
                <w:sz w:val="19"/>
              </w:rPr>
              <w:t>Output</w:t>
            </w:r>
          </w:p>
        </w:tc>
        <w:tc>
          <w:tcPr>
            <w:tcW w:type="dxa" w:w="2376"/>
            <w:shd w:fill="18324A"/>
            <w:tcMar>
              <w:top w:w="100" w:type="dxa"/>
              <w:start w:w="110" w:type="dxa"/>
              <w:bottom w:w="100" w:type="dxa"/>
              <w:end w:w="110" w:type="dxa"/>
            </w:tcMar>
            <w:vAlign w:val="center"/>
          </w:tcPr>
          <w:p>
            <w:pPr>
              <w:spacing w:after="0"/>
            </w:pPr>
            <w:r>
              <w:rPr>
                <w:b/>
                <w:color w:val="FFFFFF"/>
                <w:sz w:val="19"/>
              </w:rPr>
              <w:t>Status</w:t>
            </w:r>
          </w:p>
        </w:tc>
        <w:tc>
          <w:tcPr>
            <w:tcW w:type="dxa" w:w="5544"/>
            <w:shd w:fill="18324A"/>
            <w:tcMar>
              <w:top w:w="100" w:type="dxa"/>
              <w:start w:w="110" w:type="dxa"/>
              <w:bottom w:w="100" w:type="dxa"/>
              <w:end w:w="110" w:type="dxa"/>
            </w:tcMar>
            <w:vAlign w:val="center"/>
          </w:tcPr>
          <w:p>
            <w:pPr>
              <w:spacing w:after="0"/>
            </w:pPr>
            <w:r>
              <w:rPr>
                <w:b/>
                <w:color w:val="FFFFFF"/>
                <w:sz w:val="19"/>
              </w:rPr>
              <w:t>Purpose</w:t>
            </w:r>
          </w:p>
        </w:tc>
      </w:tr>
      <w:tr>
        <w:tc>
          <w:tcPr>
            <w:tcW w:type="dxa" w:w="2160"/>
            <w:vAlign w:val="center"/>
            <w:tcMar>
              <w:top w:w="100" w:type="dxa"/>
              <w:start w:w="110" w:type="dxa"/>
              <w:bottom w:w="100" w:type="dxa"/>
              <w:end w:w="110" w:type="dxa"/>
            </w:tcMar>
          </w:tcPr>
          <w:p>
            <w:pPr>
              <w:spacing w:after="0" w:line="259" w:lineRule="auto"/>
            </w:pPr>
            <w:r>
              <w:rPr>
                <w:b/>
                <w:sz w:val="18"/>
              </w:rPr>
              <w:t>run_summary.json</w:t>
            </w:r>
          </w:p>
        </w:tc>
        <w:tc>
          <w:tcPr>
            <w:tcW w:type="dxa" w:w="2376"/>
            <w:vAlign w:val="center"/>
            <w:tcMar>
              <w:top w:w="100" w:type="dxa"/>
              <w:start w:w="110" w:type="dxa"/>
              <w:bottom w:w="100" w:type="dxa"/>
              <w:end w:w="110" w:type="dxa"/>
            </w:tcMar>
            <w:shd w:fill="E8F3EC"/>
          </w:tcPr>
          <w:p>
            <w:pPr>
              <w:spacing w:after="0" w:line="259" w:lineRule="auto"/>
            </w:pPr>
            <w:r>
              <w:rPr>
                <w:sz w:val="18"/>
              </w:rPr>
              <w:t>Implemented</w:t>
            </w:r>
          </w:p>
        </w:tc>
        <w:tc>
          <w:tcPr>
            <w:tcW w:type="dxa" w:w="5544"/>
            <w:vAlign w:val="center"/>
            <w:tcMar>
              <w:top w:w="100" w:type="dxa"/>
              <w:start w:w="110" w:type="dxa"/>
              <w:bottom w:w="100" w:type="dxa"/>
              <w:end w:w="110" w:type="dxa"/>
            </w:tcMar>
          </w:tcPr>
          <w:p>
            <w:pPr>
              <w:spacing w:after="0" w:line="259" w:lineRule="auto"/>
            </w:pPr>
            <w:r>
              <w:rPr>
                <w:sz w:val="18"/>
              </w:rPr>
              <w:t>Human readable run totals: blocks, trades, kWh, prices, breaches, battery movement, losses, charges, ageing and baseline comparison.</w:t>
            </w:r>
          </w:p>
        </w:tc>
      </w:tr>
      <w:tr>
        <w:tc>
          <w:tcPr>
            <w:tcW w:type="dxa" w:w="2160"/>
            <w:vAlign w:val="center"/>
            <w:tcMar>
              <w:top w:w="100" w:type="dxa"/>
              <w:start w:w="110" w:type="dxa"/>
              <w:bottom w:w="100" w:type="dxa"/>
              <w:end w:w="110" w:type="dxa"/>
            </w:tcMar>
            <w:shd w:fill="F5F7F9"/>
          </w:tcPr>
          <w:p>
            <w:pPr>
              <w:spacing w:after="0" w:line="259" w:lineRule="auto"/>
            </w:pPr>
            <w:r>
              <w:rPr>
                <w:b/>
                <w:sz w:val="18"/>
              </w:rPr>
              <w:t>urjasetu.sqlite</w:t>
            </w:r>
          </w:p>
        </w:tc>
        <w:tc>
          <w:tcPr>
            <w:tcW w:type="dxa" w:w="2376"/>
            <w:vAlign w:val="center"/>
            <w:tcMar>
              <w:top w:w="100" w:type="dxa"/>
              <w:start w:w="110" w:type="dxa"/>
              <w:bottom w:w="100" w:type="dxa"/>
              <w:end w:w="110" w:type="dxa"/>
            </w:tcMar>
            <w:shd w:fill="FCE8E6"/>
          </w:tcPr>
          <w:p>
            <w:pPr>
              <w:spacing w:after="0" w:line="259" w:lineRule="auto"/>
            </w:pPr>
            <w:r>
              <w:rPr>
                <w:sz w:val="18"/>
              </w:rPr>
              <w:t>Available when persistence is enabled</w:t>
            </w:r>
          </w:p>
        </w:tc>
        <w:tc>
          <w:tcPr>
            <w:tcW w:type="dxa" w:w="5544"/>
            <w:vAlign w:val="center"/>
            <w:tcMar>
              <w:top w:w="100" w:type="dxa"/>
              <w:start w:w="110" w:type="dxa"/>
              <w:bottom w:w="100" w:type="dxa"/>
              <w:end w:w="110" w:type="dxa"/>
            </w:tcMar>
            <w:shd w:fill="F5F7F9"/>
          </w:tcPr>
          <w:p>
            <w:pPr>
              <w:spacing w:after="0" w:line="259" w:lineRule="auto"/>
            </w:pPr>
            <w:r>
              <w:rPr>
                <w:sz w:val="18"/>
              </w:rPr>
              <w:t>Detailed tables for every meter tick, order, trade, bill line and transformer state.</w:t>
            </w:r>
          </w:p>
        </w:tc>
      </w:tr>
      <w:tr>
        <w:tc>
          <w:tcPr>
            <w:tcW w:type="dxa" w:w="2160"/>
            <w:vAlign w:val="center"/>
            <w:tcMar>
              <w:top w:w="100" w:type="dxa"/>
              <w:start w:w="110" w:type="dxa"/>
              <w:bottom w:w="100" w:type="dxa"/>
              <w:end w:w="110" w:type="dxa"/>
            </w:tcMar>
          </w:tcPr>
          <w:p>
            <w:pPr>
              <w:spacing w:after="0" w:line="259" w:lineRule="auto"/>
            </w:pPr>
            <w:r>
              <w:rPr>
                <w:b/>
                <w:sz w:val="18"/>
              </w:rPr>
              <w:t>replay_run.json</w:t>
            </w:r>
          </w:p>
        </w:tc>
        <w:tc>
          <w:tcPr>
            <w:tcW w:type="dxa" w:w="2376"/>
            <w:vAlign w:val="center"/>
            <w:tcMar>
              <w:top w:w="100" w:type="dxa"/>
              <w:start w:w="110" w:type="dxa"/>
              <w:bottom w:w="100" w:type="dxa"/>
              <w:end w:w="110" w:type="dxa"/>
            </w:tcMar>
            <w:shd w:fill="FCE8E6"/>
          </w:tcPr>
          <w:p>
            <w:pPr>
              <w:spacing w:after="0" w:line="259" w:lineRule="auto"/>
            </w:pPr>
            <w:r>
              <w:rPr>
                <w:sz w:val="18"/>
              </w:rPr>
              <w:t>Recommended addition</w:t>
            </w:r>
          </w:p>
        </w:tc>
        <w:tc>
          <w:tcPr>
            <w:tcW w:type="dxa" w:w="5544"/>
            <w:vAlign w:val="center"/>
            <w:tcMar>
              <w:top w:w="100" w:type="dxa"/>
              <w:start w:w="110" w:type="dxa"/>
              <w:bottom w:w="100" w:type="dxa"/>
              <w:end w:w="110" w:type="dxa"/>
            </w:tcMar>
          </w:tcPr>
          <w:p>
            <w:pPr>
              <w:spacing w:after="0" w:line="259" w:lineRule="auto"/>
            </w:pPr>
            <w:r>
              <w:rPr>
                <w:sz w:val="18"/>
              </w:rPr>
              <w:t>One UI ready file containing scene, block and event payloads plus backend calculated summary figures.</w:t>
            </w:r>
          </w:p>
        </w:tc>
      </w:tr>
      <w:tr>
        <w:tc>
          <w:tcPr>
            <w:tcW w:type="dxa" w:w="2160"/>
            <w:vAlign w:val="center"/>
            <w:tcMar>
              <w:top w:w="100" w:type="dxa"/>
              <w:start w:w="110" w:type="dxa"/>
              <w:bottom w:w="100" w:type="dxa"/>
              <w:end w:w="110" w:type="dxa"/>
            </w:tcMar>
            <w:shd w:fill="F5F7F9"/>
          </w:tcPr>
          <w:p>
            <w:pPr>
              <w:spacing w:after="0" w:line="259" w:lineRule="auto"/>
            </w:pPr>
            <w:r>
              <w:rPr>
                <w:b/>
                <w:sz w:val="18"/>
              </w:rPr>
              <w:t>WebSocket stream</w:t>
            </w:r>
          </w:p>
        </w:tc>
        <w:tc>
          <w:tcPr>
            <w:tcW w:type="dxa" w:w="2376"/>
            <w:vAlign w:val="center"/>
            <w:tcMar>
              <w:top w:w="100" w:type="dxa"/>
              <w:start w:w="110" w:type="dxa"/>
              <w:bottom w:w="100" w:type="dxa"/>
              <w:end w:w="110" w:type="dxa"/>
            </w:tcMar>
            <w:shd w:fill="FCE8E6"/>
          </w:tcPr>
          <w:p>
            <w:pPr>
              <w:spacing w:after="0" w:line="259" w:lineRule="auto"/>
            </w:pPr>
            <w:r>
              <w:rPr>
                <w:sz w:val="18"/>
              </w:rPr>
              <w:t>Recommended Render endpoint</w:t>
            </w:r>
          </w:p>
        </w:tc>
        <w:tc>
          <w:tcPr>
            <w:tcW w:type="dxa" w:w="5544"/>
            <w:vAlign w:val="center"/>
            <w:tcMar>
              <w:top w:w="100" w:type="dxa"/>
              <w:start w:w="110" w:type="dxa"/>
              <w:bottom w:w="100" w:type="dxa"/>
              <w:end w:w="110" w:type="dxa"/>
            </w:tcMar>
            <w:shd w:fill="F5F7F9"/>
          </w:tcPr>
          <w:p>
            <w:pPr>
              <w:spacing w:after="0" w:line="259" w:lineRule="auto"/>
            </w:pPr>
            <w:r>
              <w:rPr>
                <w:sz w:val="18"/>
              </w:rPr>
              <w:t>Live scene, block and event messages for the Vercel LiveTransport.</w:t>
            </w:r>
          </w:p>
        </w:tc>
      </w:tr>
    </w:tbl>
    <w:p>
      <w:r>
        <w:br w:type="page"/>
      </w:r>
    </w:p>
    <w:p>
      <w:pPr>
        <w:pStyle w:val="Heading1"/>
      </w:pPr>
      <w:r>
        <w:t>Vercel and Render architecture</w:t>
      </w:r>
    </w:p>
    <w:p>
      <w:r>
        <w:t>Vercel should host only the React and Three.js interface. Render should run the Python source of truth: data ingestion, agents, simulation, persistence, exports and WebSocket commands.</w:t>
      </w:r>
    </w:p>
    <w:p>
      <w:pPr>
        <w:keepNext/>
        <w:jc w:val="center"/>
      </w:pPr>
      <w:r>
        <w:drawing>
          <wp:inline xmlns:a="http://schemas.openxmlformats.org/drawingml/2006/main" xmlns:pic="http://schemas.openxmlformats.org/drawingml/2006/picture">
            <wp:extent cx="5760720" cy="2487584"/>
            <wp:docPr id="2" name="Picture 2"/>
            <wp:cNvGraphicFramePr>
              <a:graphicFrameLocks noChangeAspect="1"/>
            </wp:cNvGraphicFramePr>
            <a:graphic>
              <a:graphicData uri="http://schemas.openxmlformats.org/drawingml/2006/picture">
                <pic:pic>
                  <pic:nvPicPr>
                    <pic:cNvPr id="0" name=".deployment_network.png"/>
                    <pic:cNvPicPr/>
                  </pic:nvPicPr>
                  <pic:blipFill>
                    <a:blip r:embed="rId10"/>
                    <a:stretch>
                      <a:fillRect/>
                    </a:stretch>
                  </pic:blipFill>
                  <pic:spPr>
                    <a:xfrm>
                      <a:off x="0" y="0"/>
                      <a:ext cx="5760720" cy="2487584"/>
                    </a:xfrm>
                    <a:prstGeom prst="rect"/>
                  </pic:spPr>
                </pic:pic>
              </a:graphicData>
            </a:graphic>
          </wp:inline>
        </w:drawing>
      </w:r>
    </w:p>
    <w:p>
      <w:pPr>
        <w:spacing w:after="160"/>
        <w:jc w:val="center"/>
      </w:pPr>
      <w:r>
        <w:rPr>
          <w:i/>
          <w:color w:val="505050"/>
          <w:sz w:val="18"/>
        </w:rPr>
        <w:t>Figure 2  Target hosting and communication boundary</w:t>
      </w:r>
    </w:p>
    <w:p>
      <w:pPr>
        <w:pStyle w:val="Heading1"/>
      </w:pPr>
      <w:r>
        <w:t>Render backend responsibilities</w:t>
      </w:r>
    </w:p>
    <w:p>
      <w:pPr>
        <w:pStyle w:val="ListBullet"/>
        <w:spacing w:after="60"/>
      </w:pPr>
      <w:r>
        <w:t>Expose a health endpoint and a WebSocket endpoint.</w:t>
      </w:r>
    </w:p>
    <w:p>
      <w:pPr>
        <w:pStyle w:val="ListBullet"/>
        <w:spacing w:after="60"/>
      </w:pPr>
      <w:r>
        <w:t>Start and stop runs, validate data, execute hourly blocks and persist results.</w:t>
      </w:r>
    </w:p>
    <w:p>
      <w:pPr>
        <w:pStyle w:val="ListBullet"/>
        <w:spacing w:after="60"/>
      </w:pPr>
      <w:r>
        <w:t>Translate Bus events and Runner state into scene, block and event payloads.</w:t>
      </w:r>
    </w:p>
    <w:p>
      <w:pPr>
        <w:pStyle w:val="ListBullet"/>
        <w:spacing w:after="60"/>
      </w:pPr>
      <w:r>
        <w:t>Handle derate, cloud and replay commands on the real simulation.</w:t>
      </w:r>
    </w:p>
    <w:p>
      <w:pPr>
        <w:pStyle w:val="ListBullet"/>
        <w:spacing w:after="60"/>
      </w:pPr>
      <w:r>
        <w:t>Export run_summary.json and replay_run.json from completed runs.</w:t>
      </w:r>
    </w:p>
    <w:p>
      <w:pPr>
        <w:pStyle w:val="Heading1"/>
      </w:pPr>
      <w:r>
        <w:t>Vercel frontend responsibilities</w:t>
      </w:r>
    </w:p>
    <w:p>
      <w:pPr>
        <w:pStyle w:val="ListBullet"/>
        <w:spacing w:after="60"/>
      </w:pPr>
      <w:r>
        <w:t>Read the Render WebSocket URL from an environment variable.</w:t>
      </w:r>
    </w:p>
    <w:p>
      <w:pPr>
        <w:pStyle w:val="ListBullet"/>
        <w:spacing w:after="60"/>
      </w:pPr>
      <w:r>
        <w:t>Use LiveTransport for normal operation and ReplayTransport when disconnected.</w:t>
      </w:r>
    </w:p>
    <w:p>
      <w:pPr>
        <w:pStyle w:val="ListBullet"/>
        <w:spacing w:after="60"/>
      </w:pPr>
      <w:r>
        <w:t>Display backend values without recalculating trades, savings or risk.</w:t>
      </w:r>
    </w:p>
    <w:p>
      <w:pPr>
        <w:pStyle w:val="ListBullet"/>
        <w:spacing w:after="60"/>
      </w:pPr>
      <w:r>
        <w:t>Send operator commands and show visible confirmation within two blocks.</w:t>
      </w:r>
    </w:p>
    <w:p>
      <w:pPr>
        <w:pStyle w:val="Heading1"/>
      </w:pPr>
      <w:r>
        <w:t>Required integration work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864"/>
            <w:shd w:fill="18324A"/>
            <w:tcMar>
              <w:top w:w="100" w:type="dxa"/>
              <w:start w:w="110" w:type="dxa"/>
              <w:bottom w:w="100" w:type="dxa"/>
              <w:end w:w="110" w:type="dxa"/>
            </w:tcMar>
            <w:vAlign w:val="center"/>
          </w:tcPr>
          <w:p>
            <w:pPr>
              <w:spacing w:after="0"/>
            </w:pPr>
            <w:r>
              <w:rPr>
                <w:b/>
                <w:color w:val="FFFFFF"/>
                <w:sz w:val="19"/>
              </w:rPr>
              <w:t>Order</w:t>
            </w:r>
          </w:p>
        </w:tc>
        <w:tc>
          <w:tcPr>
            <w:tcW w:type="dxa" w:w="7704"/>
            <w:shd w:fill="18324A"/>
            <w:tcMar>
              <w:top w:w="100" w:type="dxa"/>
              <w:start w:w="110" w:type="dxa"/>
              <w:bottom w:w="100" w:type="dxa"/>
              <w:end w:w="110" w:type="dxa"/>
            </w:tcMar>
            <w:vAlign w:val="center"/>
          </w:tcPr>
          <w:p>
            <w:pPr>
              <w:spacing w:after="0"/>
            </w:pPr>
            <w:r>
              <w:rPr>
                <w:b/>
                <w:color w:val="FFFFFF"/>
                <w:sz w:val="19"/>
              </w:rPr>
              <w:t>Work item</w:t>
            </w:r>
          </w:p>
        </w:tc>
        <w:tc>
          <w:tcPr>
            <w:tcW w:type="dxa" w:w="1512"/>
            <w:shd w:fill="18324A"/>
            <w:tcMar>
              <w:top w:w="100" w:type="dxa"/>
              <w:start w:w="110" w:type="dxa"/>
              <w:bottom w:w="100" w:type="dxa"/>
              <w:end w:w="110" w:type="dxa"/>
            </w:tcMar>
            <w:vAlign w:val="center"/>
          </w:tcPr>
          <w:p>
            <w:pPr>
              <w:spacing w:after="0"/>
            </w:pPr>
            <w:r>
              <w:rPr>
                <w:b/>
                <w:color w:val="FFFFFF"/>
                <w:sz w:val="19"/>
              </w:rPr>
              <w:t>Status</w:t>
            </w:r>
          </w:p>
        </w:tc>
      </w:tr>
      <w:tr>
        <w:tc>
          <w:tcPr>
            <w:tcW w:type="dxa" w:w="864"/>
            <w:vAlign w:val="center"/>
            <w:tcMar>
              <w:top w:w="100" w:type="dxa"/>
              <w:start w:w="110" w:type="dxa"/>
              <w:bottom w:w="100" w:type="dxa"/>
              <w:end w:w="110" w:type="dxa"/>
            </w:tcMar>
          </w:tcPr>
          <w:p>
            <w:pPr>
              <w:spacing w:after="0" w:line="259" w:lineRule="auto"/>
            </w:pPr>
            <w:r>
              <w:rPr>
                <w:b/>
                <w:sz w:val="18"/>
              </w:rPr>
              <w:t>1</w:t>
            </w:r>
          </w:p>
        </w:tc>
        <w:tc>
          <w:tcPr>
            <w:tcW w:type="dxa" w:w="7704"/>
            <w:vAlign w:val="center"/>
            <w:tcMar>
              <w:top w:w="100" w:type="dxa"/>
              <w:start w:w="110" w:type="dxa"/>
              <w:bottom w:w="100" w:type="dxa"/>
              <w:end w:w="110" w:type="dxa"/>
            </w:tcMar>
          </w:tcPr>
          <w:p>
            <w:pPr>
              <w:spacing w:after="0" w:line="259" w:lineRule="auto"/>
            </w:pPr>
            <w:r>
              <w:rPr>
                <w:sz w:val="18"/>
              </w:rPr>
              <w:t>Create the Python API and WebSocket service on Render</w:t>
            </w:r>
          </w:p>
        </w:tc>
        <w:tc>
          <w:tcPr>
            <w:tcW w:type="dxa" w:w="1512"/>
            <w:vAlign w:val="center"/>
            <w:tcMar>
              <w:top w:w="100" w:type="dxa"/>
              <w:start w:w="110" w:type="dxa"/>
              <w:bottom w:w="100" w:type="dxa"/>
              <w:end w:w="110" w:type="dxa"/>
            </w:tcMar>
            <w:shd w:fill="FCE8E6"/>
          </w:tcPr>
          <w:p>
            <w:pPr>
              <w:spacing w:after="0" w:line="259" w:lineRule="auto"/>
            </w:pPr>
            <w:r>
              <w:rPr>
                <w:sz w:val="18"/>
              </w:rPr>
              <w:t>Missing</w:t>
            </w:r>
          </w:p>
        </w:tc>
      </w:tr>
      <w:tr>
        <w:tc>
          <w:tcPr>
            <w:tcW w:type="dxa" w:w="864"/>
            <w:vAlign w:val="center"/>
            <w:tcMar>
              <w:top w:w="100" w:type="dxa"/>
              <w:start w:w="110" w:type="dxa"/>
              <w:bottom w:w="100" w:type="dxa"/>
              <w:end w:w="110" w:type="dxa"/>
            </w:tcMar>
            <w:shd w:fill="F5F7F9"/>
          </w:tcPr>
          <w:p>
            <w:pPr>
              <w:spacing w:after="0" w:line="259" w:lineRule="auto"/>
            </w:pPr>
            <w:r>
              <w:rPr>
                <w:b/>
                <w:sz w:val="18"/>
              </w:rPr>
              <w:t>2</w:t>
            </w:r>
          </w:p>
        </w:tc>
        <w:tc>
          <w:tcPr>
            <w:tcW w:type="dxa" w:w="7704"/>
            <w:vAlign w:val="center"/>
            <w:tcMar>
              <w:top w:w="100" w:type="dxa"/>
              <w:start w:w="110" w:type="dxa"/>
              <w:bottom w:w="100" w:type="dxa"/>
              <w:end w:w="110" w:type="dxa"/>
            </w:tcMar>
            <w:shd w:fill="F5F7F9"/>
          </w:tcPr>
          <w:p>
            <w:pPr>
              <w:spacing w:after="0" w:line="259" w:lineRule="auto"/>
            </w:pPr>
            <w:r>
              <w:rPr>
                <w:sz w:val="18"/>
              </w:rPr>
              <w:t>Serialize real Runner state into the existing UI payload types</w:t>
            </w:r>
          </w:p>
        </w:tc>
        <w:tc>
          <w:tcPr>
            <w:tcW w:type="dxa" w:w="1512"/>
            <w:vAlign w:val="center"/>
            <w:tcMar>
              <w:top w:w="100" w:type="dxa"/>
              <w:start w:w="110" w:type="dxa"/>
              <w:bottom w:w="100" w:type="dxa"/>
              <w:end w:w="110" w:type="dxa"/>
            </w:tcMar>
            <w:shd w:fill="FCE8E6"/>
          </w:tcPr>
          <w:p>
            <w:pPr>
              <w:spacing w:after="0" w:line="259" w:lineRule="auto"/>
            </w:pPr>
            <w:r>
              <w:rPr>
                <w:sz w:val="18"/>
              </w:rPr>
              <w:t>Missing</w:t>
            </w:r>
          </w:p>
        </w:tc>
      </w:tr>
      <w:tr>
        <w:tc>
          <w:tcPr>
            <w:tcW w:type="dxa" w:w="864"/>
            <w:vAlign w:val="center"/>
            <w:tcMar>
              <w:top w:w="100" w:type="dxa"/>
              <w:start w:w="110" w:type="dxa"/>
              <w:bottom w:w="100" w:type="dxa"/>
              <w:end w:w="110" w:type="dxa"/>
            </w:tcMar>
          </w:tcPr>
          <w:p>
            <w:pPr>
              <w:spacing w:after="0" w:line="259" w:lineRule="auto"/>
            </w:pPr>
            <w:r>
              <w:rPr>
                <w:b/>
                <w:sz w:val="18"/>
              </w:rPr>
              <w:t>3</w:t>
            </w:r>
          </w:p>
        </w:tc>
        <w:tc>
          <w:tcPr>
            <w:tcW w:type="dxa" w:w="7704"/>
            <w:vAlign w:val="center"/>
            <w:tcMar>
              <w:top w:w="100" w:type="dxa"/>
              <w:start w:w="110" w:type="dxa"/>
              <w:bottom w:w="100" w:type="dxa"/>
              <w:end w:w="110" w:type="dxa"/>
            </w:tcMar>
          </w:tcPr>
          <w:p>
            <w:pPr>
              <w:spacing w:after="0" w:line="259" w:lineRule="auto"/>
            </w:pPr>
            <w:r>
              <w:rPr>
                <w:sz w:val="18"/>
              </w:rPr>
              <w:t>Select LiveTransport through a Vercel environment variable</w:t>
            </w:r>
          </w:p>
        </w:tc>
        <w:tc>
          <w:tcPr>
            <w:tcW w:type="dxa" w:w="1512"/>
            <w:vAlign w:val="center"/>
            <w:tcMar>
              <w:top w:w="100" w:type="dxa"/>
              <w:start w:w="110" w:type="dxa"/>
              <w:bottom w:w="100" w:type="dxa"/>
              <w:end w:w="110" w:type="dxa"/>
            </w:tcMar>
            <w:shd w:fill="FCE8E6"/>
          </w:tcPr>
          <w:p>
            <w:pPr>
              <w:spacing w:after="0" w:line="259" w:lineRule="auto"/>
            </w:pPr>
            <w:r>
              <w:rPr>
                <w:sz w:val="18"/>
              </w:rPr>
              <w:t>Missing</w:t>
            </w:r>
          </w:p>
        </w:tc>
      </w:tr>
      <w:tr>
        <w:tc>
          <w:tcPr>
            <w:tcW w:type="dxa" w:w="864"/>
            <w:vAlign w:val="center"/>
            <w:tcMar>
              <w:top w:w="100" w:type="dxa"/>
              <w:start w:w="110" w:type="dxa"/>
              <w:bottom w:w="100" w:type="dxa"/>
              <w:end w:w="110" w:type="dxa"/>
            </w:tcMar>
            <w:shd w:fill="F5F7F9"/>
          </w:tcPr>
          <w:p>
            <w:pPr>
              <w:spacing w:after="0" w:line="259" w:lineRule="auto"/>
            </w:pPr>
            <w:r>
              <w:rPr>
                <w:b/>
                <w:sz w:val="18"/>
              </w:rPr>
              <w:t>4</w:t>
            </w:r>
          </w:p>
        </w:tc>
        <w:tc>
          <w:tcPr>
            <w:tcW w:type="dxa" w:w="7704"/>
            <w:vAlign w:val="center"/>
            <w:tcMar>
              <w:top w:w="100" w:type="dxa"/>
              <w:start w:w="110" w:type="dxa"/>
              <w:bottom w:w="100" w:type="dxa"/>
              <w:end w:w="110" w:type="dxa"/>
            </w:tcMar>
            <w:shd w:fill="F5F7F9"/>
          </w:tcPr>
          <w:p>
            <w:pPr>
              <w:spacing w:after="0" w:line="259" w:lineRule="auto"/>
            </w:pPr>
            <w:r>
              <w:rPr>
                <w:sz w:val="18"/>
              </w:rPr>
              <w:t>Generate replay and summary values from the backend</w:t>
            </w:r>
          </w:p>
        </w:tc>
        <w:tc>
          <w:tcPr>
            <w:tcW w:type="dxa" w:w="1512"/>
            <w:vAlign w:val="center"/>
            <w:tcMar>
              <w:top w:w="100" w:type="dxa"/>
              <w:start w:w="110" w:type="dxa"/>
              <w:bottom w:w="100" w:type="dxa"/>
              <w:end w:w="110" w:type="dxa"/>
            </w:tcMar>
            <w:shd w:fill="FCE8E6"/>
          </w:tcPr>
          <w:p>
            <w:pPr>
              <w:spacing w:after="0" w:line="259" w:lineRule="auto"/>
            </w:pPr>
            <w:r>
              <w:rPr>
                <w:sz w:val="18"/>
              </w:rPr>
              <w:t>Missing</w:t>
            </w:r>
          </w:p>
        </w:tc>
      </w:tr>
      <w:tr>
        <w:tc>
          <w:tcPr>
            <w:tcW w:type="dxa" w:w="864"/>
            <w:vAlign w:val="center"/>
            <w:tcMar>
              <w:top w:w="100" w:type="dxa"/>
              <w:start w:w="110" w:type="dxa"/>
              <w:bottom w:w="100" w:type="dxa"/>
              <w:end w:w="110" w:type="dxa"/>
            </w:tcMar>
          </w:tcPr>
          <w:p>
            <w:pPr>
              <w:spacing w:after="0" w:line="259" w:lineRule="auto"/>
            </w:pPr>
            <w:r>
              <w:rPr>
                <w:b/>
                <w:sz w:val="18"/>
              </w:rPr>
              <w:t>5</w:t>
            </w:r>
          </w:p>
        </w:tc>
        <w:tc>
          <w:tcPr>
            <w:tcW w:type="dxa" w:w="7704"/>
            <w:vAlign w:val="center"/>
            <w:tcMar>
              <w:top w:w="100" w:type="dxa"/>
              <w:start w:w="110" w:type="dxa"/>
              <w:bottom w:w="100" w:type="dxa"/>
              <w:end w:w="110" w:type="dxa"/>
            </w:tcMar>
          </w:tcPr>
          <w:p>
            <w:pPr>
              <w:spacing w:after="0" w:line="259" w:lineRule="auto"/>
            </w:pPr>
            <w:r>
              <w:rPr>
                <w:sz w:val="18"/>
              </w:rPr>
              <w:t>Add a defensible future grid risk score or describe the system as detection plus prevention</w:t>
            </w:r>
          </w:p>
        </w:tc>
        <w:tc>
          <w:tcPr>
            <w:tcW w:type="dxa" w:w="1512"/>
            <w:vAlign w:val="center"/>
            <w:tcMar>
              <w:top w:w="100" w:type="dxa"/>
              <w:start w:w="110" w:type="dxa"/>
              <w:bottom w:w="100" w:type="dxa"/>
              <w:end w:w="110" w:type="dxa"/>
            </w:tcMar>
            <w:shd w:fill="FCE8E6"/>
          </w:tcPr>
          <w:p>
            <w:pPr>
              <w:spacing w:after="0" w:line="259" w:lineRule="auto"/>
            </w:pPr>
            <w:r>
              <w:rPr>
                <w:sz w:val="18"/>
              </w:rPr>
              <w:t>Decision required</w:t>
            </w:r>
          </w:p>
        </w:tc>
      </w:tr>
    </w:tbl>
    <w:p>
      <w:r>
        <w:br w:type="page"/>
      </w:r>
    </w:p>
    <w:p>
      <w:pPr>
        <w:pStyle w:val="Heading1"/>
      </w:pPr>
      <w:r>
        <w:t>Recommended agents to add</w:t>
      </w:r>
    </w:p>
    <w:p>
      <w:r>
        <w:rPr>
          <w:b/>
        </w:rPr>
        <w:t xml:space="preserve">Minimum recommendation  </w:t>
      </w:r>
      <w:r>
        <w:t>Add the Forecast Agent, Failure Risk Agent, AI Strategy Agent and Dispatch Agent first. Together they make prediction and autonomous action explicit while keeping the current market and grid algorithms intact.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1512"/>
            <w:vAlign w:val="center"/>
            <w:tcMar>
              <w:top w:w="95" w:type="dxa"/>
              <w:start w:w="95" w:type="dxa"/>
              <w:bottom w:w="95" w:type="dxa"/>
              <w:end w:w="95" w:type="dxa"/>
            </w:tcMar>
            <w:shd w:fill="18324A"/>
          </w:tcPr>
          <w:p>
            <w:pPr>
              <w:spacing w:after="0"/>
            </w:pPr>
            <w:r>
              <w:rPr>
                <w:b/>
                <w:color w:val="FFFFFF"/>
                <w:sz w:val="18"/>
              </w:rPr>
              <w:t>Agent</w:t>
            </w:r>
          </w:p>
        </w:tc>
        <w:tc>
          <w:tcPr>
            <w:tcW w:type="dxa" w:w="1512"/>
            <w:vAlign w:val="center"/>
            <w:tcMar>
              <w:top w:w="95" w:type="dxa"/>
              <w:start w:w="95" w:type="dxa"/>
              <w:bottom w:w="95" w:type="dxa"/>
              <w:end w:w="95" w:type="dxa"/>
            </w:tcMar>
            <w:shd w:fill="18324A"/>
          </w:tcPr>
          <w:p>
            <w:pPr>
              <w:spacing w:after="0"/>
            </w:pPr>
            <w:r>
              <w:rPr>
                <w:b/>
                <w:color w:val="FFFFFF"/>
                <w:sz w:val="18"/>
              </w:rPr>
              <w:t>Type</w:t>
            </w:r>
          </w:p>
        </w:tc>
        <w:tc>
          <w:tcPr>
            <w:tcW w:type="dxa" w:w="2232"/>
            <w:vAlign w:val="center"/>
            <w:tcMar>
              <w:top w:w="95" w:type="dxa"/>
              <w:start w:w="95" w:type="dxa"/>
              <w:bottom w:w="95" w:type="dxa"/>
              <w:end w:w="95" w:type="dxa"/>
            </w:tcMar>
            <w:shd w:fill="18324A"/>
          </w:tcPr>
          <w:p>
            <w:pPr>
              <w:spacing w:after="0"/>
            </w:pPr>
            <w:r>
              <w:rPr>
                <w:b/>
                <w:color w:val="FFFFFF"/>
                <w:sz w:val="18"/>
              </w:rPr>
              <w:t>What it does</w:t>
            </w:r>
          </w:p>
        </w:tc>
        <w:tc>
          <w:tcPr>
            <w:tcW w:type="dxa" w:w="2160"/>
            <w:vAlign w:val="center"/>
            <w:tcMar>
              <w:top w:w="95" w:type="dxa"/>
              <w:start w:w="95" w:type="dxa"/>
              <w:bottom w:w="95" w:type="dxa"/>
              <w:end w:w="95" w:type="dxa"/>
            </w:tcMar>
            <w:shd w:fill="18324A"/>
          </w:tcPr>
          <w:p>
            <w:pPr>
              <w:spacing w:after="0"/>
            </w:pPr>
            <w:r>
              <w:rPr>
                <w:b/>
                <w:color w:val="FFFFFF"/>
                <w:sz w:val="18"/>
              </w:rPr>
              <w:t>Data used</w:t>
            </w:r>
          </w:p>
        </w:tc>
        <w:tc>
          <w:tcPr>
            <w:tcW w:type="dxa" w:w="1800"/>
            <w:vAlign w:val="center"/>
            <w:tcMar>
              <w:top w:w="95" w:type="dxa"/>
              <w:start w:w="95" w:type="dxa"/>
              <w:bottom w:w="95" w:type="dxa"/>
              <w:end w:w="95" w:type="dxa"/>
            </w:tcMar>
            <w:shd w:fill="18324A"/>
          </w:tcPr>
          <w:p>
            <w:pPr>
              <w:spacing w:after="0"/>
            </w:pPr>
            <w:r>
              <w:rPr>
                <w:b/>
                <w:color w:val="FFFFFF"/>
                <w:sz w:val="18"/>
              </w:rPr>
              <w:t>Output</w:t>
            </w:r>
          </w:p>
        </w:tc>
        <w:tc>
          <w:tcPr>
            <w:tcW w:type="dxa" w:w="1008"/>
            <w:vAlign w:val="center"/>
            <w:tcMar>
              <w:top w:w="95" w:type="dxa"/>
              <w:start w:w="95" w:type="dxa"/>
              <w:bottom w:w="95" w:type="dxa"/>
              <w:end w:w="95" w:type="dxa"/>
            </w:tcMar>
            <w:shd w:fill="18324A"/>
          </w:tcPr>
          <w:p>
            <w:pPr>
              <w:spacing w:after="0"/>
            </w:pPr>
            <w:r>
              <w:rPr>
                <w:b/>
                <w:color w:val="FFFFFF"/>
                <w:sz w:val="18"/>
              </w:rPr>
              <w:t>Priority</w:t>
            </w:r>
          </w:p>
        </w:tc>
      </w:tr>
      <w:tr>
        <w:tc>
          <w:tcPr>
            <w:tcW w:type="dxa" w:w="1512"/>
            <w:vAlign w:val="center"/>
            <w:tcMar>
              <w:top w:w="95" w:type="dxa"/>
              <w:start w:w="95" w:type="dxa"/>
              <w:bottom w:w="95" w:type="dxa"/>
              <w:end w:w="95" w:type="dxa"/>
            </w:tcMar>
          </w:tcPr>
          <w:p>
            <w:pPr>
              <w:spacing w:after="0" w:line="252" w:lineRule="auto"/>
            </w:pPr>
            <w:r>
              <w:rPr>
                <w:b/>
                <w:sz w:val="16"/>
              </w:rPr>
              <w:t>Forecast Agent</w:t>
            </w:r>
          </w:p>
        </w:tc>
        <w:tc>
          <w:tcPr>
            <w:tcW w:type="dxa" w:w="1512"/>
            <w:vAlign w:val="center"/>
            <w:tcMar>
              <w:top w:w="95" w:type="dxa"/>
              <w:start w:w="95" w:type="dxa"/>
              <w:bottom w:w="95" w:type="dxa"/>
              <w:end w:w="95" w:type="dxa"/>
            </w:tcMar>
            <w:shd w:fill="EAF3F8"/>
          </w:tcPr>
          <w:p>
            <w:pPr>
              <w:spacing w:after="0" w:line="252" w:lineRule="auto"/>
            </w:pPr>
            <w:r>
              <w:rPr>
                <w:sz w:val="16"/>
              </w:rPr>
              <w:t>ML agent</w:t>
            </w:r>
          </w:p>
        </w:tc>
        <w:tc>
          <w:tcPr>
            <w:tcW w:type="dxa" w:w="2232"/>
            <w:vAlign w:val="center"/>
            <w:tcMar>
              <w:top w:w="95" w:type="dxa"/>
              <w:start w:w="95" w:type="dxa"/>
              <w:bottom w:w="95" w:type="dxa"/>
              <w:end w:w="95" w:type="dxa"/>
            </w:tcMar>
          </w:tcPr>
          <w:p>
            <w:pPr>
              <w:spacing w:after="0" w:line="252" w:lineRule="auto"/>
            </w:pPr>
            <w:r>
              <w:rPr>
                <w:sz w:val="16"/>
              </w:rPr>
              <w:t>Predicts load, solar and transformer demand for the next 1 to 6 hours.</w:t>
            </w:r>
          </w:p>
        </w:tc>
        <w:tc>
          <w:tcPr>
            <w:tcW w:type="dxa" w:w="2160"/>
            <w:vAlign w:val="center"/>
            <w:tcMar>
              <w:top w:w="95" w:type="dxa"/>
              <w:start w:w="95" w:type="dxa"/>
              <w:bottom w:w="95" w:type="dxa"/>
              <w:end w:w="95" w:type="dxa"/>
            </w:tcMar>
          </w:tcPr>
          <w:p>
            <w:pPr>
              <w:spacing w:after="0" w:line="252" w:lineRule="auto"/>
            </w:pPr>
            <w:r>
              <w:rPr>
                <w:sz w:val="16"/>
              </w:rPr>
              <w:t>Meter history, weather, hour, day, EV load</w:t>
            </w:r>
          </w:p>
        </w:tc>
        <w:tc>
          <w:tcPr>
            <w:tcW w:type="dxa" w:w="1800"/>
            <w:vAlign w:val="center"/>
            <w:tcMar>
              <w:top w:w="95" w:type="dxa"/>
              <w:start w:w="95" w:type="dxa"/>
              <w:bottom w:w="95" w:type="dxa"/>
              <w:end w:w="95" w:type="dxa"/>
            </w:tcMar>
          </w:tcPr>
          <w:p>
            <w:pPr>
              <w:spacing w:after="0" w:line="252" w:lineRule="auto"/>
            </w:pPr>
            <w:r>
              <w:rPr>
                <w:sz w:val="16"/>
              </w:rPr>
              <w:t>forecast.json with values and confidence</w:t>
            </w:r>
          </w:p>
        </w:tc>
        <w:tc>
          <w:tcPr>
            <w:tcW w:type="dxa" w:w="1008"/>
            <w:vAlign w:val="center"/>
            <w:tcMar>
              <w:top w:w="95" w:type="dxa"/>
              <w:start w:w="95" w:type="dxa"/>
              <w:bottom w:w="95" w:type="dxa"/>
              <w:end w:w="95" w:type="dxa"/>
            </w:tcMar>
          </w:tcPr>
          <w:p>
            <w:pPr>
              <w:spacing w:after="0" w:line="252" w:lineRule="auto"/>
            </w:pPr>
            <w:r>
              <w:rPr>
                <w:sz w:val="16"/>
              </w:rPr>
              <w:t>Essential</w:t>
            </w:r>
          </w:p>
        </w:tc>
      </w:tr>
      <w:tr>
        <w:tc>
          <w:tcPr>
            <w:tcW w:type="dxa" w:w="1512"/>
            <w:vAlign w:val="center"/>
            <w:tcMar>
              <w:top w:w="95" w:type="dxa"/>
              <w:start w:w="95" w:type="dxa"/>
              <w:bottom w:w="95" w:type="dxa"/>
              <w:end w:w="95" w:type="dxa"/>
            </w:tcMar>
            <w:shd w:fill="F5F7F9"/>
          </w:tcPr>
          <w:p>
            <w:pPr>
              <w:spacing w:after="0" w:line="252" w:lineRule="auto"/>
            </w:pPr>
            <w:r>
              <w:rPr>
                <w:b/>
                <w:sz w:val="16"/>
              </w:rPr>
              <w:t>Failure Risk Agent</w:t>
            </w:r>
          </w:p>
        </w:tc>
        <w:tc>
          <w:tcPr>
            <w:tcW w:type="dxa" w:w="1512"/>
            <w:vAlign w:val="center"/>
            <w:tcMar>
              <w:top w:w="95" w:type="dxa"/>
              <w:start w:w="95" w:type="dxa"/>
              <w:bottom w:w="95" w:type="dxa"/>
              <w:end w:w="95" w:type="dxa"/>
            </w:tcMar>
            <w:shd w:fill="EAF3F8"/>
          </w:tcPr>
          <w:p>
            <w:pPr>
              <w:spacing w:after="0" w:line="252" w:lineRule="auto"/>
            </w:pPr>
            <w:r>
              <w:rPr>
                <w:sz w:val="16"/>
              </w:rPr>
              <w:t>ML agent</w:t>
            </w:r>
          </w:p>
        </w:tc>
        <w:tc>
          <w:tcPr>
            <w:tcW w:type="dxa" w:w="2232"/>
            <w:vAlign w:val="center"/>
            <w:tcMar>
              <w:top w:w="95" w:type="dxa"/>
              <w:start w:w="95" w:type="dxa"/>
              <w:bottom w:w="95" w:type="dxa"/>
              <w:end w:w="95" w:type="dxa"/>
            </w:tcMar>
            <w:shd w:fill="F5F7F9"/>
          </w:tcPr>
          <w:p>
            <w:pPr>
              <w:spacing w:after="0" w:line="252" w:lineRule="auto"/>
            </w:pPr>
            <w:r>
              <w:rPr>
                <w:sz w:val="16"/>
              </w:rPr>
              <w:t>Estimates the probability and expected time of an overload or thermal risk.</w:t>
            </w:r>
          </w:p>
        </w:tc>
        <w:tc>
          <w:tcPr>
            <w:tcW w:type="dxa" w:w="2160"/>
            <w:vAlign w:val="center"/>
            <w:tcMar>
              <w:top w:w="95" w:type="dxa"/>
              <w:start w:w="95" w:type="dxa"/>
              <w:bottom w:w="95" w:type="dxa"/>
              <w:end w:w="95" w:type="dxa"/>
            </w:tcMar>
            <w:shd w:fill="F5F7F9"/>
          </w:tcPr>
          <w:p>
            <w:pPr>
              <w:spacing w:after="0" w:line="252" w:lineRule="auto"/>
            </w:pPr>
            <w:r>
              <w:rPr>
                <w:sz w:val="16"/>
              </w:rPr>
              <w:t>Forecasts, loading history, hot spot, voltage events, ambient</w:t>
            </w:r>
          </w:p>
        </w:tc>
        <w:tc>
          <w:tcPr>
            <w:tcW w:type="dxa" w:w="1800"/>
            <w:vAlign w:val="center"/>
            <w:tcMar>
              <w:top w:w="95" w:type="dxa"/>
              <w:start w:w="95" w:type="dxa"/>
              <w:bottom w:w="95" w:type="dxa"/>
              <w:end w:w="95" w:type="dxa"/>
            </w:tcMar>
            <w:shd w:fill="F5F7F9"/>
          </w:tcPr>
          <w:p>
            <w:pPr>
              <w:spacing w:after="0" w:line="252" w:lineRule="auto"/>
            </w:pPr>
            <w:r>
              <w:rPr>
                <w:sz w:val="16"/>
              </w:rPr>
              <w:t>risk.json with score, horizon and causes</w:t>
            </w:r>
          </w:p>
        </w:tc>
        <w:tc>
          <w:tcPr>
            <w:tcW w:type="dxa" w:w="1008"/>
            <w:vAlign w:val="center"/>
            <w:tcMar>
              <w:top w:w="95" w:type="dxa"/>
              <w:start w:w="95" w:type="dxa"/>
              <w:bottom w:w="95" w:type="dxa"/>
              <w:end w:w="95" w:type="dxa"/>
            </w:tcMar>
            <w:shd w:fill="F5F7F9"/>
          </w:tcPr>
          <w:p>
            <w:pPr>
              <w:spacing w:after="0" w:line="252" w:lineRule="auto"/>
            </w:pPr>
            <w:r>
              <w:rPr>
                <w:sz w:val="16"/>
              </w:rPr>
              <w:t>Essential</w:t>
            </w:r>
          </w:p>
        </w:tc>
      </w:tr>
      <w:tr>
        <w:tc>
          <w:tcPr>
            <w:tcW w:type="dxa" w:w="1512"/>
            <w:vAlign w:val="center"/>
            <w:tcMar>
              <w:top w:w="95" w:type="dxa"/>
              <w:start w:w="95" w:type="dxa"/>
              <w:bottom w:w="95" w:type="dxa"/>
              <w:end w:w="95" w:type="dxa"/>
            </w:tcMar>
          </w:tcPr>
          <w:p>
            <w:pPr>
              <w:spacing w:after="0" w:line="252" w:lineRule="auto"/>
            </w:pPr>
            <w:r>
              <w:rPr>
                <w:b/>
                <w:sz w:val="16"/>
              </w:rPr>
              <w:t>AI Strategy Agent</w:t>
            </w:r>
          </w:p>
        </w:tc>
        <w:tc>
          <w:tcPr>
            <w:tcW w:type="dxa" w:w="1512"/>
            <w:vAlign w:val="center"/>
            <w:tcMar>
              <w:top w:w="95" w:type="dxa"/>
              <w:start w:w="95" w:type="dxa"/>
              <w:bottom w:w="95" w:type="dxa"/>
              <w:end w:w="95" w:type="dxa"/>
            </w:tcMar>
            <w:shd w:fill="F2EDF8"/>
          </w:tcPr>
          <w:p>
            <w:pPr>
              <w:spacing w:after="0" w:line="252" w:lineRule="auto"/>
            </w:pPr>
            <w:r>
              <w:rPr>
                <w:sz w:val="16"/>
              </w:rPr>
              <w:t>LLM or policy agent</w:t>
            </w:r>
          </w:p>
        </w:tc>
        <w:tc>
          <w:tcPr>
            <w:tcW w:type="dxa" w:w="2232"/>
            <w:vAlign w:val="center"/>
            <w:tcMar>
              <w:top w:w="95" w:type="dxa"/>
              <w:start w:w="95" w:type="dxa"/>
              <w:bottom w:w="95" w:type="dxa"/>
              <w:end w:w="95" w:type="dxa"/>
            </w:tcMar>
          </w:tcPr>
          <w:p>
            <w:pPr>
              <w:spacing w:after="0" w:line="252" w:lineRule="auto"/>
            </w:pPr>
            <w:r>
              <w:rPr>
                <w:sz w:val="16"/>
              </w:rPr>
              <w:t>Chooses bounded bid aggression, battery reserve and trading timing for the next period.</w:t>
            </w:r>
          </w:p>
        </w:tc>
        <w:tc>
          <w:tcPr>
            <w:tcW w:type="dxa" w:w="2160"/>
            <w:vAlign w:val="center"/>
            <w:tcMar>
              <w:top w:w="95" w:type="dxa"/>
              <w:start w:w="95" w:type="dxa"/>
              <w:bottom w:w="95" w:type="dxa"/>
              <w:end w:w="95" w:type="dxa"/>
            </w:tcMar>
          </w:tcPr>
          <w:p>
            <w:pPr>
              <w:spacing w:after="0" w:line="252" w:lineRule="auto"/>
            </w:pPr>
            <w:r>
              <w:rPr>
                <w:sz w:val="16"/>
              </w:rPr>
              <w:t>Forecast, risk, price history and allowed parameter ranges</w:t>
            </w:r>
          </w:p>
        </w:tc>
        <w:tc>
          <w:tcPr>
            <w:tcW w:type="dxa" w:w="1800"/>
            <w:vAlign w:val="center"/>
            <w:tcMar>
              <w:top w:w="95" w:type="dxa"/>
              <w:start w:w="95" w:type="dxa"/>
              <w:bottom w:w="95" w:type="dxa"/>
              <w:end w:w="95" w:type="dxa"/>
            </w:tcMar>
          </w:tcPr>
          <w:p>
            <w:pPr>
              <w:spacing w:after="0" w:line="252" w:lineRule="auto"/>
            </w:pPr>
            <w:r>
              <w:rPr>
                <w:sz w:val="16"/>
              </w:rPr>
              <w:t>strategy.json with clamped parameters</w:t>
            </w:r>
          </w:p>
        </w:tc>
        <w:tc>
          <w:tcPr>
            <w:tcW w:type="dxa" w:w="1008"/>
            <w:vAlign w:val="center"/>
            <w:tcMar>
              <w:top w:w="95" w:type="dxa"/>
              <w:start w:w="95" w:type="dxa"/>
              <w:bottom w:w="95" w:type="dxa"/>
              <w:end w:w="95" w:type="dxa"/>
            </w:tcMar>
          </w:tcPr>
          <w:p>
            <w:pPr>
              <w:spacing w:after="0" w:line="252" w:lineRule="auto"/>
            </w:pPr>
            <w:r>
              <w:rPr>
                <w:sz w:val="16"/>
              </w:rPr>
              <w:t>Essential</w:t>
            </w:r>
          </w:p>
        </w:tc>
      </w:tr>
      <w:tr>
        <w:tc>
          <w:tcPr>
            <w:tcW w:type="dxa" w:w="1512"/>
            <w:vAlign w:val="center"/>
            <w:tcMar>
              <w:top w:w="95" w:type="dxa"/>
              <w:start w:w="95" w:type="dxa"/>
              <w:bottom w:w="95" w:type="dxa"/>
              <w:end w:w="95" w:type="dxa"/>
            </w:tcMar>
            <w:shd w:fill="F5F7F9"/>
          </w:tcPr>
          <w:p>
            <w:pPr>
              <w:spacing w:after="0" w:line="252" w:lineRule="auto"/>
            </w:pPr>
            <w:r>
              <w:rPr>
                <w:b/>
                <w:sz w:val="16"/>
              </w:rPr>
              <w:t>AI Coordinator</w:t>
            </w:r>
          </w:p>
        </w:tc>
        <w:tc>
          <w:tcPr>
            <w:tcW w:type="dxa" w:w="1512"/>
            <w:vAlign w:val="center"/>
            <w:tcMar>
              <w:top w:w="95" w:type="dxa"/>
              <w:start w:w="95" w:type="dxa"/>
              <w:bottom w:w="95" w:type="dxa"/>
              <w:end w:w="95" w:type="dxa"/>
            </w:tcMar>
            <w:shd w:fill="F2EDF8"/>
          </w:tcPr>
          <w:p>
            <w:pPr>
              <w:spacing w:after="0" w:line="252" w:lineRule="auto"/>
            </w:pPr>
            <w:r>
              <w:rPr>
                <w:sz w:val="16"/>
              </w:rPr>
              <w:t>LLM tool using agent</w:t>
            </w:r>
          </w:p>
        </w:tc>
        <w:tc>
          <w:tcPr>
            <w:tcW w:type="dxa" w:w="2232"/>
            <w:vAlign w:val="center"/>
            <w:tcMar>
              <w:top w:w="95" w:type="dxa"/>
              <w:start w:w="95" w:type="dxa"/>
              <w:bottom w:w="95" w:type="dxa"/>
              <w:end w:w="95" w:type="dxa"/>
            </w:tcMar>
            <w:shd w:fill="F5F7F9"/>
          </w:tcPr>
          <w:p>
            <w:pPr>
              <w:spacing w:after="0" w:line="252" w:lineRule="auto"/>
            </w:pPr>
            <w:r>
              <w:rPr>
                <w:sz w:val="16"/>
              </w:rPr>
              <w:t>Combines forecast and risk into an explainable proposed response.</w:t>
            </w:r>
          </w:p>
        </w:tc>
        <w:tc>
          <w:tcPr>
            <w:tcW w:type="dxa" w:w="2160"/>
            <w:vAlign w:val="center"/>
            <w:tcMar>
              <w:top w:w="95" w:type="dxa"/>
              <w:start w:w="95" w:type="dxa"/>
              <w:bottom w:w="95" w:type="dxa"/>
              <w:end w:w="95" w:type="dxa"/>
            </w:tcMar>
            <w:shd w:fill="F5F7F9"/>
          </w:tcPr>
          <w:p>
            <w:pPr>
              <w:spacing w:after="0" w:line="252" w:lineRule="auto"/>
            </w:pPr>
            <w:r>
              <w:rPr>
                <w:sz w:val="16"/>
              </w:rPr>
              <w:t>Forecast, risk, market state and approved actions</w:t>
            </w:r>
          </w:p>
        </w:tc>
        <w:tc>
          <w:tcPr>
            <w:tcW w:type="dxa" w:w="1800"/>
            <w:vAlign w:val="center"/>
            <w:tcMar>
              <w:top w:w="95" w:type="dxa"/>
              <w:start w:w="95" w:type="dxa"/>
              <w:bottom w:w="95" w:type="dxa"/>
              <w:end w:w="95" w:type="dxa"/>
            </w:tcMar>
            <w:shd w:fill="F5F7F9"/>
          </w:tcPr>
          <w:p>
            <w:pPr>
              <w:spacing w:after="0" w:line="252" w:lineRule="auto"/>
            </w:pPr>
            <w:r>
              <w:rPr>
                <w:sz w:val="16"/>
              </w:rPr>
              <w:t>action_plan.json with reason and confidence</w:t>
            </w:r>
          </w:p>
        </w:tc>
        <w:tc>
          <w:tcPr>
            <w:tcW w:type="dxa" w:w="1008"/>
            <w:vAlign w:val="center"/>
            <w:tcMar>
              <w:top w:w="95" w:type="dxa"/>
              <w:start w:w="95" w:type="dxa"/>
              <w:bottom w:w="95" w:type="dxa"/>
              <w:end w:w="95" w:type="dxa"/>
            </w:tcMar>
            <w:shd w:fill="F5F7F9"/>
          </w:tcPr>
          <w:p>
            <w:pPr>
              <w:spacing w:after="0" w:line="252" w:lineRule="auto"/>
            </w:pPr>
            <w:r>
              <w:rPr>
                <w:sz w:val="16"/>
              </w:rPr>
              <w:t>Add later</w:t>
            </w:r>
          </w:p>
        </w:tc>
      </w:tr>
      <w:tr>
        <w:tc>
          <w:tcPr>
            <w:tcW w:type="dxa" w:w="1512"/>
            <w:vAlign w:val="center"/>
            <w:tcMar>
              <w:top w:w="95" w:type="dxa"/>
              <w:start w:w="95" w:type="dxa"/>
              <w:bottom w:w="95" w:type="dxa"/>
              <w:end w:w="95" w:type="dxa"/>
            </w:tcMar>
          </w:tcPr>
          <w:p>
            <w:pPr>
              <w:spacing w:after="0" w:line="252" w:lineRule="auto"/>
            </w:pPr>
            <w:r>
              <w:rPr>
                <w:b/>
                <w:sz w:val="16"/>
              </w:rPr>
              <w:t>Anomaly Agent</w:t>
            </w:r>
          </w:p>
        </w:tc>
        <w:tc>
          <w:tcPr>
            <w:tcW w:type="dxa" w:w="1512"/>
            <w:vAlign w:val="center"/>
            <w:tcMar>
              <w:top w:w="95" w:type="dxa"/>
              <w:start w:w="95" w:type="dxa"/>
              <w:bottom w:w="95" w:type="dxa"/>
              <w:end w:w="95" w:type="dxa"/>
            </w:tcMar>
            <w:shd w:fill="EAF3F8"/>
          </w:tcPr>
          <w:p>
            <w:pPr>
              <w:spacing w:after="0" w:line="252" w:lineRule="auto"/>
            </w:pPr>
            <w:r>
              <w:rPr>
                <w:sz w:val="16"/>
              </w:rPr>
              <w:t>ML agent</w:t>
            </w:r>
          </w:p>
        </w:tc>
        <w:tc>
          <w:tcPr>
            <w:tcW w:type="dxa" w:w="2232"/>
            <w:vAlign w:val="center"/>
            <w:tcMar>
              <w:top w:w="95" w:type="dxa"/>
              <w:start w:w="95" w:type="dxa"/>
              <w:bottom w:w="95" w:type="dxa"/>
              <w:end w:w="95" w:type="dxa"/>
            </w:tcMar>
          </w:tcPr>
          <w:p>
            <w:pPr>
              <w:spacing w:after="0" w:line="252" w:lineRule="auto"/>
            </w:pPr>
            <w:r>
              <w:rPr>
                <w:sz w:val="16"/>
              </w:rPr>
              <w:t>Detects missing, stuck, drifting or impossible telemetry before decisions are made.</w:t>
            </w:r>
          </w:p>
        </w:tc>
        <w:tc>
          <w:tcPr>
            <w:tcW w:type="dxa" w:w="2160"/>
            <w:vAlign w:val="center"/>
            <w:tcMar>
              <w:top w:w="95" w:type="dxa"/>
              <w:start w:w="95" w:type="dxa"/>
              <w:bottom w:w="95" w:type="dxa"/>
              <w:end w:w="95" w:type="dxa"/>
            </w:tcMar>
          </w:tcPr>
          <w:p>
            <w:pPr>
              <w:spacing w:after="0" w:line="252" w:lineRule="auto"/>
            </w:pPr>
            <w:r>
              <w:rPr>
                <w:sz w:val="16"/>
              </w:rPr>
              <w:t>Recent sensor values, expected ranges and neighboring patterns</w:t>
            </w:r>
          </w:p>
        </w:tc>
        <w:tc>
          <w:tcPr>
            <w:tcW w:type="dxa" w:w="1800"/>
            <w:vAlign w:val="center"/>
            <w:tcMar>
              <w:top w:w="95" w:type="dxa"/>
              <w:start w:w="95" w:type="dxa"/>
              <w:bottom w:w="95" w:type="dxa"/>
              <w:end w:w="95" w:type="dxa"/>
            </w:tcMar>
          </w:tcPr>
          <w:p>
            <w:pPr>
              <w:spacing w:after="0" w:line="252" w:lineRule="auto"/>
            </w:pPr>
            <w:r>
              <w:rPr>
                <w:sz w:val="16"/>
              </w:rPr>
              <w:t>anomaly.json and data quality events</w:t>
            </w:r>
          </w:p>
        </w:tc>
        <w:tc>
          <w:tcPr>
            <w:tcW w:type="dxa" w:w="1008"/>
            <w:vAlign w:val="center"/>
            <w:tcMar>
              <w:top w:w="95" w:type="dxa"/>
              <w:start w:w="95" w:type="dxa"/>
              <w:bottom w:w="95" w:type="dxa"/>
              <w:end w:w="95" w:type="dxa"/>
            </w:tcMar>
          </w:tcPr>
          <w:p>
            <w:pPr>
              <w:spacing w:after="0" w:line="252" w:lineRule="auto"/>
            </w:pPr>
            <w:r>
              <w:rPr>
                <w:sz w:val="16"/>
              </w:rPr>
              <w:t>Add later</w:t>
            </w:r>
          </w:p>
        </w:tc>
      </w:tr>
      <w:tr>
        <w:tc>
          <w:tcPr>
            <w:tcW w:type="dxa" w:w="1512"/>
            <w:vAlign w:val="center"/>
            <w:tcMar>
              <w:top w:w="95" w:type="dxa"/>
              <w:start w:w="95" w:type="dxa"/>
              <w:bottom w:w="95" w:type="dxa"/>
              <w:end w:w="95" w:type="dxa"/>
            </w:tcMar>
            <w:shd w:fill="F5F7F9"/>
          </w:tcPr>
          <w:p>
            <w:pPr>
              <w:spacing w:after="0" w:line="252" w:lineRule="auto"/>
            </w:pPr>
            <w:r>
              <w:rPr>
                <w:b/>
                <w:sz w:val="16"/>
              </w:rPr>
              <w:t>Dispatch Agent</w:t>
            </w:r>
          </w:p>
        </w:tc>
        <w:tc>
          <w:tcPr>
            <w:tcW w:type="dxa" w:w="1512"/>
            <w:vAlign w:val="center"/>
            <w:tcMar>
              <w:top w:w="95" w:type="dxa"/>
              <w:start w:w="95" w:type="dxa"/>
              <w:bottom w:w="95" w:type="dxa"/>
              <w:end w:w="95" w:type="dxa"/>
            </w:tcMar>
            <w:shd w:fill="FFF3D6"/>
          </w:tcPr>
          <w:p>
            <w:pPr>
              <w:spacing w:after="0" w:line="252" w:lineRule="auto"/>
            </w:pPr>
            <w:r>
              <w:rPr>
                <w:sz w:val="16"/>
              </w:rPr>
              <w:t>Algorithmic executor</w:t>
            </w:r>
          </w:p>
        </w:tc>
        <w:tc>
          <w:tcPr>
            <w:tcW w:type="dxa" w:w="2232"/>
            <w:vAlign w:val="center"/>
            <w:tcMar>
              <w:top w:w="95" w:type="dxa"/>
              <w:start w:w="95" w:type="dxa"/>
              <w:bottom w:w="95" w:type="dxa"/>
              <w:end w:w="95" w:type="dxa"/>
            </w:tcMar>
            <w:shd w:fill="F5F7F9"/>
          </w:tcPr>
          <w:p>
            <w:pPr>
              <w:spacing w:after="0" w:line="252" w:lineRule="auto"/>
            </w:pPr>
            <w:r>
              <w:rPr>
                <w:sz w:val="16"/>
              </w:rPr>
              <w:t>Executes only actions already approved by the sentinel and flow constraints.</w:t>
            </w:r>
          </w:p>
        </w:tc>
        <w:tc>
          <w:tcPr>
            <w:tcW w:type="dxa" w:w="2160"/>
            <w:vAlign w:val="center"/>
            <w:tcMar>
              <w:top w:w="95" w:type="dxa"/>
              <w:start w:w="95" w:type="dxa"/>
              <w:bottom w:w="95" w:type="dxa"/>
              <w:end w:w="95" w:type="dxa"/>
            </w:tcMar>
            <w:shd w:fill="F5F7F9"/>
          </w:tcPr>
          <w:p>
            <w:pPr>
              <w:spacing w:after="0" w:line="252" w:lineRule="auto"/>
            </w:pPr>
            <w:r>
              <w:rPr>
                <w:sz w:val="16"/>
              </w:rPr>
              <w:t>Validated reshape plan and device limits</w:t>
            </w:r>
          </w:p>
        </w:tc>
        <w:tc>
          <w:tcPr>
            <w:tcW w:type="dxa" w:w="1800"/>
            <w:vAlign w:val="center"/>
            <w:tcMar>
              <w:top w:w="95" w:type="dxa"/>
              <w:start w:w="95" w:type="dxa"/>
              <w:bottom w:w="95" w:type="dxa"/>
              <w:end w:w="95" w:type="dxa"/>
            </w:tcMar>
            <w:shd w:fill="F5F7F9"/>
          </w:tcPr>
          <w:p>
            <w:pPr>
              <w:spacing w:after="0" w:line="252" w:lineRule="auto"/>
            </w:pPr>
            <w:r>
              <w:rPr>
                <w:sz w:val="16"/>
              </w:rPr>
              <w:t>dispatch.json and execution events</w:t>
            </w:r>
          </w:p>
        </w:tc>
        <w:tc>
          <w:tcPr>
            <w:tcW w:type="dxa" w:w="1008"/>
            <w:vAlign w:val="center"/>
            <w:tcMar>
              <w:top w:w="95" w:type="dxa"/>
              <w:start w:w="95" w:type="dxa"/>
              <w:bottom w:w="95" w:type="dxa"/>
              <w:end w:w="95" w:type="dxa"/>
            </w:tcMar>
            <w:shd w:fill="F5F7F9"/>
          </w:tcPr>
          <w:p>
            <w:pPr>
              <w:spacing w:after="0" w:line="252" w:lineRule="auto"/>
            </w:pPr>
            <w:r>
              <w:rPr>
                <w:sz w:val="16"/>
              </w:rPr>
              <w:t>Essential</w:t>
            </w:r>
          </w:p>
        </w:tc>
      </w:tr>
    </w:tbl>
    <w:p>
      <w:pPr>
        <w:pStyle w:val="Heading1"/>
      </w:pPr>
      <w:r>
        <w:t>Why these additions fit the problem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3096"/>
            <w:vAlign w:val="center"/>
            <w:tcMar>
              <w:top w:w="95" w:type="dxa"/>
              <w:start w:w="95" w:type="dxa"/>
              <w:bottom w:w="95" w:type="dxa"/>
              <w:end w:w="95" w:type="dxa"/>
            </w:tcMar>
            <w:shd w:fill="18324A"/>
          </w:tcPr>
          <w:p>
            <w:pPr>
              <w:spacing w:after="0"/>
            </w:pPr>
            <w:r>
              <w:rPr>
                <w:b/>
                <w:color w:val="FFFFFF"/>
                <w:sz w:val="18"/>
              </w:rPr>
              <w:t>Problem requirement</w:t>
            </w:r>
          </w:p>
        </w:tc>
        <w:tc>
          <w:tcPr>
            <w:tcW w:type="dxa" w:w="7128"/>
            <w:vAlign w:val="center"/>
            <w:tcMar>
              <w:top w:w="95" w:type="dxa"/>
              <w:start w:w="95" w:type="dxa"/>
              <w:bottom w:w="95" w:type="dxa"/>
              <w:end w:w="95" w:type="dxa"/>
            </w:tcMar>
            <w:shd w:fill="18324A"/>
          </w:tcPr>
          <w:p>
            <w:pPr>
              <w:spacing w:after="0"/>
            </w:pPr>
            <w:r>
              <w:rPr>
                <w:b/>
                <w:color w:val="FFFFFF"/>
                <w:sz w:val="18"/>
              </w:rPr>
              <w:t>Agent contribution</w:t>
            </w:r>
          </w:p>
        </w:tc>
      </w:tr>
      <w:tr>
        <w:tc>
          <w:tcPr>
            <w:tcW w:type="dxa" w:w="3096"/>
            <w:vAlign w:val="center"/>
            <w:tcMar>
              <w:top w:w="95" w:type="dxa"/>
              <w:start w:w="95" w:type="dxa"/>
              <w:bottom w:w="95" w:type="dxa"/>
              <w:end w:w="95" w:type="dxa"/>
            </w:tcMar>
          </w:tcPr>
          <w:p>
            <w:pPr>
              <w:spacing w:after="0" w:line="252" w:lineRule="auto"/>
            </w:pPr>
            <w:r>
              <w:rPr>
                <w:b/>
                <w:sz w:val="18"/>
              </w:rPr>
              <w:t>Monitor hyper local generation</w:t>
            </w:r>
          </w:p>
        </w:tc>
        <w:tc>
          <w:tcPr>
            <w:tcW w:type="dxa" w:w="7128"/>
            <w:vAlign w:val="center"/>
            <w:tcMar>
              <w:top w:w="95" w:type="dxa"/>
              <w:start w:w="95" w:type="dxa"/>
              <w:bottom w:w="95" w:type="dxa"/>
              <w:end w:w="95" w:type="dxa"/>
            </w:tcMar>
            <w:shd w:fill="FFF3D6"/>
          </w:tcPr>
          <w:p>
            <w:pPr>
              <w:spacing w:after="0" w:line="252" w:lineRule="auto"/>
            </w:pPr>
            <w:r>
              <w:rPr>
                <w:sz w:val="18"/>
              </w:rPr>
              <w:t>Anomaly Agent validates live readings before they enter the network.</w:t>
            </w:r>
          </w:p>
        </w:tc>
      </w:tr>
      <w:tr>
        <w:tc>
          <w:tcPr>
            <w:tcW w:type="dxa" w:w="3096"/>
            <w:vAlign w:val="center"/>
            <w:tcMar>
              <w:top w:w="95" w:type="dxa"/>
              <w:start w:w="95" w:type="dxa"/>
              <w:bottom w:w="95" w:type="dxa"/>
              <w:end w:w="95" w:type="dxa"/>
            </w:tcMar>
            <w:shd w:fill="F5F7F9"/>
          </w:tcPr>
          <w:p>
            <w:pPr>
              <w:spacing w:after="0" w:line="252" w:lineRule="auto"/>
            </w:pPr>
            <w:r>
              <w:rPr>
                <w:b/>
                <w:sz w:val="18"/>
              </w:rPr>
              <w:t>Predict grid failures</w:t>
            </w:r>
          </w:p>
        </w:tc>
        <w:tc>
          <w:tcPr>
            <w:tcW w:type="dxa" w:w="7128"/>
            <w:vAlign w:val="center"/>
            <w:tcMar>
              <w:top w:w="95" w:type="dxa"/>
              <w:start w:w="95" w:type="dxa"/>
              <w:bottom w:w="95" w:type="dxa"/>
              <w:end w:w="95" w:type="dxa"/>
            </w:tcMar>
            <w:shd w:fill="FFF3D6"/>
          </w:tcPr>
          <w:p>
            <w:pPr>
              <w:spacing w:after="0" w:line="252" w:lineRule="auto"/>
            </w:pPr>
            <w:r>
              <w:rPr>
                <w:sz w:val="18"/>
              </w:rPr>
              <w:t>Forecast Agent predicts future demand and generation; Failure Risk Agent converts that forecast into a risk and time horizon.</w:t>
            </w:r>
          </w:p>
        </w:tc>
      </w:tr>
      <w:tr>
        <w:tc>
          <w:tcPr>
            <w:tcW w:type="dxa" w:w="3096"/>
            <w:vAlign w:val="center"/>
            <w:tcMar>
              <w:top w:w="95" w:type="dxa"/>
              <w:start w:w="95" w:type="dxa"/>
              <w:bottom w:w="95" w:type="dxa"/>
              <w:end w:w="95" w:type="dxa"/>
            </w:tcMar>
          </w:tcPr>
          <w:p>
            <w:pPr>
              <w:spacing w:after="0" w:line="252" w:lineRule="auto"/>
            </w:pPr>
            <w:r>
              <w:rPr>
                <w:b/>
                <w:sz w:val="18"/>
              </w:rPr>
              <w:t>Autonomously execute trading</w:t>
            </w:r>
          </w:p>
        </w:tc>
        <w:tc>
          <w:tcPr>
            <w:tcW w:type="dxa" w:w="7128"/>
            <w:vAlign w:val="center"/>
            <w:tcMar>
              <w:top w:w="95" w:type="dxa"/>
              <w:start w:w="95" w:type="dxa"/>
              <w:bottom w:w="95" w:type="dxa"/>
              <w:end w:w="95" w:type="dxa"/>
            </w:tcMar>
            <w:shd w:fill="FFF3D6"/>
          </w:tcPr>
          <w:p>
            <w:pPr>
              <w:spacing w:after="0" w:line="252" w:lineRule="auto"/>
            </w:pPr>
            <w:r>
              <w:rPr>
                <w:sz w:val="18"/>
              </w:rPr>
              <w:t>AI Strategy Agent changes bounded trading behavior; the existing Market Agent clears trades automatically.</w:t>
            </w:r>
          </w:p>
        </w:tc>
      </w:tr>
      <w:tr>
        <w:tc>
          <w:tcPr>
            <w:tcW w:type="dxa" w:w="3096"/>
            <w:vAlign w:val="center"/>
            <w:tcMar>
              <w:top w:w="95" w:type="dxa"/>
              <w:start w:w="95" w:type="dxa"/>
              <w:bottom w:w="95" w:type="dxa"/>
              <w:end w:w="95" w:type="dxa"/>
            </w:tcMar>
            <w:shd w:fill="F5F7F9"/>
          </w:tcPr>
          <w:p>
            <w:pPr>
              <w:spacing w:after="0" w:line="252" w:lineRule="auto"/>
            </w:pPr>
            <w:r>
              <w:rPr>
                <w:b/>
                <w:sz w:val="18"/>
              </w:rPr>
              <w:t>Protect the micro grid</w:t>
            </w:r>
          </w:p>
        </w:tc>
        <w:tc>
          <w:tcPr>
            <w:tcW w:type="dxa" w:w="7128"/>
            <w:vAlign w:val="center"/>
            <w:tcMar>
              <w:top w:w="95" w:type="dxa"/>
              <w:start w:w="95" w:type="dxa"/>
              <w:bottom w:w="95" w:type="dxa"/>
              <w:end w:w="95" w:type="dxa"/>
            </w:tcMar>
            <w:shd w:fill="FFF3D6"/>
          </w:tcPr>
          <w:p>
            <w:pPr>
              <w:spacing w:after="0" w:line="252" w:lineRule="auto"/>
            </w:pPr>
            <w:r>
              <w:rPr>
                <w:sz w:val="18"/>
              </w:rPr>
              <w:t>AI Coordinator proposes a response; Sentinel, Flow and Dispatch enforce physical safety.</w:t>
            </w:r>
          </w:p>
        </w:tc>
      </w:tr>
    </w:tbl>
    <w:p>
      <w:pPr>
        <w:pStyle w:val="Heading1"/>
      </w:pPr>
      <w:r>
        <w:t>Recommended implementation order</w:t>
      </w:r>
    </w:p>
    <w:p>
      <w:pPr>
        <w:pStyle w:val="ListBullet"/>
        <w:spacing w:after="60"/>
      </w:pPr>
      <w:r>
        <w:t>Forecast Agent using supervised time series features and the existing deterministic feed.</w:t>
      </w:r>
    </w:p>
    <w:p>
      <w:pPr>
        <w:pStyle w:val="ListBullet"/>
        <w:spacing w:after="60"/>
      </w:pPr>
      <w:r>
        <w:t>Failure Risk Agent predicting a future threshold breach. Call it grid risk, not equipment failure, until real failure labels exist.</w:t>
      </w:r>
    </w:p>
    <w:p>
      <w:pPr>
        <w:pStyle w:val="ListBullet"/>
        <w:spacing w:after="60"/>
      </w:pPr>
      <w:r>
        <w:t>AI Strategy Agent connected through the existing StrategyParams clamps and timeout fallback.</w:t>
      </w:r>
    </w:p>
    <w:p>
      <w:pPr>
        <w:pStyle w:val="ListBullet"/>
        <w:spacing w:after="60"/>
      </w:pPr>
      <w:r>
        <w:t>Dispatch Agent that accepts only sentinel approved and flow validated actions.</w:t>
      </w:r>
    </w:p>
    <w:p>
      <w:pPr>
        <w:pStyle w:val="ListBullet"/>
        <w:spacing w:after="60"/>
      </w:pPr>
      <w:r>
        <w:t>AI Coordinator and Anomaly Agent if time remains.</w:t>
      </w:r>
    </w:p>
    <w:p>
      <w:r>
        <w:br w:type="page"/>
      </w:r>
    </w:p>
    <w:p>
      <w:pPr>
        <w:pStyle w:val="Heading1"/>
      </w:pPr>
      <w:r>
        <w:t>Future AI enabled network</w:t>
      </w:r>
    </w:p>
    <w:p>
      <w:r>
        <w:t>The new intelligence layer predicts and proposes. The existing deterministic layer remains responsible for market invariants, grid limits, energy conservation and money conservation.</w:t>
      </w:r>
    </w:p>
    <w:p>
      <w:pPr>
        <w:keepNext/>
        <w:jc w:val="center"/>
      </w:pPr>
      <w:r>
        <w:drawing>
          <wp:inline xmlns:a="http://schemas.openxmlformats.org/drawingml/2006/main" xmlns:pic="http://schemas.openxmlformats.org/drawingml/2006/picture">
            <wp:extent cx="6400800" cy="4073236"/>
            <wp:docPr id="3" name="Picture 3"/>
            <wp:cNvGraphicFramePr>
              <a:graphicFrameLocks noChangeAspect="1"/>
            </wp:cNvGraphicFramePr>
            <a:graphic>
              <a:graphicData uri="http://schemas.openxmlformats.org/drawingml/2006/picture">
                <pic:pic>
                  <pic:nvPicPr>
                    <pic:cNvPr id="0" name=".future_ai_agent_network.png"/>
                    <pic:cNvPicPr/>
                  </pic:nvPicPr>
                  <pic:blipFill>
                    <a:blip r:embed="rId12"/>
                    <a:stretch>
                      <a:fillRect/>
                    </a:stretch>
                  </pic:blipFill>
                  <pic:spPr>
                    <a:xfrm>
                      <a:off x="0" y="0"/>
                      <a:ext cx="6400800" cy="4073236"/>
                    </a:xfrm>
                    <a:prstGeom prst="rect"/>
                  </pic:spPr>
                </pic:pic>
              </a:graphicData>
            </a:graphic>
          </wp:inline>
        </w:drawing>
      </w:r>
    </w:p>
    <w:p>
      <w:pPr>
        <w:spacing w:after="200"/>
        <w:jc w:val="center"/>
      </w:pPr>
      <w:r>
        <w:rPr>
          <w:i/>
          <w:color w:val="505050"/>
          <w:sz w:val="18"/>
        </w:rPr>
        <w:t>Figure 3  Recommended AI and deterministic safety architecture</w:t>
      </w:r>
    </w:p>
    <w:p>
      <w:pPr>
        <w:pStyle w:val="Heading1"/>
      </w:pPr>
      <w:r>
        <w:t>Non negotiable AI guardrails</w:t>
      </w:r>
    </w:p>
    <w:p>
      <w:pPr>
        <w:pStyle w:val="ListBullet"/>
        <w:spacing w:after="60"/>
      </w:pPr>
      <w:r>
        <w:t>An LLM may select only named actions and bounded StrategyParams. It must never invent meter readings, energy or prices.</w:t>
      </w:r>
    </w:p>
    <w:p>
      <w:pPr>
        <w:pStyle w:val="ListBullet"/>
        <w:spacing w:after="60"/>
      </w:pPr>
      <w:r>
        <w:t>Every AI output must be structured JSON with model version, confidence, timestamp and input window.</w:t>
      </w:r>
    </w:p>
    <w:p>
      <w:pPr>
        <w:pStyle w:val="ListBullet"/>
        <w:spacing w:after="60"/>
      </w:pPr>
      <w:r>
        <w:t>Sentinel and Flow remain the final authority. Unsafe or malformed AI output is rejected.</w:t>
      </w:r>
    </w:p>
    <w:p>
      <w:pPr>
        <w:pStyle w:val="ListBullet"/>
        <w:spacing w:after="60"/>
      </w:pPr>
      <w:r>
        <w:t>A timeout or unavailable model returns the previous safe strategy and continues with deterministic logic.</w:t>
      </w:r>
    </w:p>
    <w:p>
      <w:pPr>
        <w:pStyle w:val="ListBullet"/>
        <w:spacing w:after="60"/>
      </w:pPr>
      <w:r>
        <w:t>Store each recommendation, validation result and executed action so the UI can explain what happened.</w:t>
      </w:r>
    </w:p>
    <w:p>
      <w:pPr>
        <w:pStyle w:val="Heading1"/>
      </w:pPr>
      <w:r>
        <w:t>Suggested updated project description</w:t>
      </w:r>
    </w:p>
    <w:p>
      <w:r>
        <w:t>UrjaSetu is an AI enabled multi-agent energy network for local micro grids. ML agents forecast generation, demand and near term grid risk. AI strategy agents propose bounded trading and battery actions. Deterministic market and grid agents validate every decision, execute safe peer to peer trades and record settlement. The UI runs on Vercel while the Python agent network runs on Render.</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UrjaSetu Agent Network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UrjaSetu Agent Network and Deployment Guide</dc:title>
  <dc:subject>Hackathon agent, data, output and deployment reference</dc:subject>
  <dc:creator>UrjaSetu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