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Abhisheik Deo</w:t>
      </w:r>
    </w:p>
    <w:p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+91 93640 27487</w:t>
      </w:r>
      <w:hyperlink r:id="rId9">
        <w:r>
          <w:rPr>
            <w:rStyle w:val="Hyperlink"/>
            <w:sz w:val="18"/>
          </w:rPr>
          <w:t xml:space="preserve"> · abhisheik@abhideo.ai</w:t>
        </w:r>
      </w:hyperlink>
      <w:hyperlink r:id="rId10">
        <w:r>
          <w:rPr>
            <w:rStyle w:val="Hyperlink"/>
            <w:sz w:val="18"/>
          </w:rPr>
          <w:t xml:space="preserve"> · linkedin.com/in/</w:t>
        </w:r>
      </w:hyperlink>
      <w:hyperlink r:id="rId10">
        <w:r>
          <w:rPr>
            <w:rStyle w:val="Hyperlink"/>
            <w:b/>
            <w:sz w:val="18"/>
          </w:rPr>
          <w:t xml:space="preserve">abhisheikdeo</w:t>
        </w:r>
      </w:hyperlink>
    </w:p>
    <w:p>
      <w:pPr>
        <w:pStyle w:val="Subtitle"/>
      </w:pPr>
      <w:r>
        <w:t>Hands-on Principal Architect · 19+ yrs · Problem-first production AI: RAG, multi-agent, LLM · Java + Spring Boot (11 yrs) · Multi-tenant SaaS · AWS, Kubernetes, Terraform · Graph + GNN · HIPAA, ISO 27001 · AI-Leveraged Delivery (Claude Code + OpenAI Codex)</w:t>
      </w:r>
    </w:p>
    <w:p>
      <w:pPr>
        <w:pStyle w:val="Heading2"/>
      </w:pPr>
      <w:r>
        <w:t>Summary</w:t>
      </w:r>
    </w:p>
    <w:p>
      <w:pPr/>
      <w:r>
        <w:t xml:space="preserve">Hands-on principal architect, </w:t>
      </w:r>
      <w:r>
        <w:rPr>
          <w:b/>
        </w:rPr>
        <w:t>19+ years</w:t>
      </w:r>
      <w:r>
        <w:t xml:space="preserve">, who starts from the business problem and designs back to the architecture. Strongest in </w:t>
      </w:r>
      <w:r>
        <w:rPr>
          <w:b/>
        </w:rPr>
        <w:t>Java and Spring Boot</w:t>
      </w:r>
      <w:r>
        <w:t xml:space="preserve">: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At Deque, every customer ran its own instance, so each upgrade and onboarding was repeated per customer;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At VoltusWave, a chronic-care client needed artificial intelligence (AI) in its product to raise investment, which first needed patients on a reliable chat platform: rewrote its core chat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compliance. Then built ten analytics and AI services on Amazon Web Services (AWS), all in production: retrieval-augmented generation (RAG) precedent search for clinicians, a multi-agent orchestrator, causal inference and leakage-safe machine learning over </w:t>
      </w:r>
      <w:r>
        <w:rPr>
          <w:b/>
        </w:rPr>
        <w:t>9–10 years of patient history</w:t>
      </w:r>
      <w:r>
        <w:t xml:space="preserve">, and self-hosted </w:t>
      </w:r>
      <w:r>
        <w:rPr>
          <w:b/>
        </w:rPr>
        <w:t>large language models (LLMs)</w:t>
      </w:r>
      <w:r>
        <w:t xml:space="preserve"> inside the client boundary, where code computes every number and a model only narrates; alongside them, a </w:t>
      </w:r>
      <w:r>
        <w:rPr>
          <w:b/>
        </w:rPr>
        <w:t>graph neural network (GNN)</w:t>
      </w:r>
      <w:r>
        <w:t xml:space="preserve"> context graph. Standardised the organisation on </w:t>
      </w:r>
      <w:r>
        <w:rPr>
          <w:b/>
        </w:rPr>
        <w:t>Kubernetes and Terraform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>
      <w:pPr>
        <w:pStyle w:val="Heading2"/>
      </w:pPr>
      <w:r>
        <w:t>Key Skills</w:t>
      </w:r>
    </w:p>
    <w:p>
      <w:pPr>
        <w:pStyle w:val="Heading4"/>
      </w:pPr>
      <w:r>
        <w:t>Technology Leadership &amp; Strategy</w:t>
      </w:r>
    </w:p>
    <w:p>
      <w:pPr>
        <w:pStyle w:val="ListBullet"/>
      </w:pPr>
      <w:r>
        <w:rPr>
          <w:b/>
        </w:rPr>
        <w:t>Technology Strategy &amp; Architecture</w:t>
      </w:r>
    </w:p>
    <w:p>
      <w:pPr>
        <w:pStyle w:val="ListBullet"/>
      </w:pPr>
      <w:r>
        <w:rPr>
          <w:b/>
        </w:rPr>
        <w:t>Decision-Intelligence Platforms</w:t>
      </w:r>
      <w:r>
        <w:t xml:space="preserve"> (Event-Sourced + Graph + AI)</w:t>
      </w:r>
    </w:p>
    <w:p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>
      <w:pPr>
        <w:pStyle w:val="Heading4"/>
      </w:pPr>
      <w:r>
        <w:t>Engineering Excellence</w:t>
      </w:r>
    </w:p>
    <w:p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Carve-Outs)</w:t>
      </w:r>
    </w:p>
    <w:p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(APIs))</w:t>
      </w:r>
    </w:p>
    <w:p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>
      <w:pPr>
        <w:pStyle w:val="ListBullet"/>
      </w:pPr>
      <w:r>
        <w:rPr>
          <w:b/>
        </w:rPr>
        <w:t>Kubernetes, Terraform + Docker on AWS</w:t>
      </w:r>
      <w:r>
        <w:t xml:space="preserve"> (company-wide standard, Elastic Container Service Fargate)</w:t>
      </w:r>
    </w:p>
    <w:p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Embeddings)</w:t>
      </w:r>
    </w:p>
    <w:p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>
      <w:pPr>
        <w:pStyle w:val="Heading4"/>
      </w:pPr>
      <w:r>
        <w:t>Business &amp; Delivery</w:t>
      </w:r>
    </w:p>
    <w:p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>
      <w:pPr>
        <w:pStyle w:val="Heading2"/>
      </w:pPr>
      <w:r>
        <w:t>Professional Experience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Principal Software Architect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Distilled the client's goal of raising investment on artificial intelligence (AI) into </w:t>
      </w:r>
      <w:r>
        <w:rPr>
          <w:b/>
        </w:rPr>
        <w:t>10 killer queries</w:t>
      </w:r>
      <w:r>
        <w:t>, agreed with its chief executive, proving the AI was real</w:t>
      </w:r>
    </w:p>
    <w:p>
      <w:pPr>
        <w:pStyle w:val="ListBullet"/>
      </w:pPr>
      <w:r>
        <w:t xml:space="preserve">Pioneered a </w:t>
      </w:r>
      <w:r>
        <w:rPr>
          <w:b/>
        </w:rPr>
        <w:t>Context Graph on Amazon Neptune</w:t>
      </w:r>
      <w:r>
        <w:t xml:space="preserve"> with graph neural network (GNN) models across 80+ chronic conditions, projected from an event-sourced DynamoDB single-table spine</w:t>
      </w:r>
    </w:p>
    <w:p>
      <w:pPr>
        <w:pStyle w:val="ListBullet"/>
      </w:pPr>
      <w:r>
        <w:t xml:space="preserve">Delivered </w:t>
      </w:r>
      <w:r>
        <w:rPr>
          <w:b/>
        </w:rPr>
        <w:t>10 decision-intelligence services</w:t>
      </w:r>
      <w:r>
        <w:t xml:space="preserve"> on 4 query archetypes to production for ~10,000 patients, absorbing 20 review findings into one design</w:t>
      </w:r>
    </w:p>
    <w:p>
      <w:pPr>
        <w:pStyle w:val="ListBullet"/>
      </w:pPr>
      <w:r>
        <w:t xml:space="preserve">Engineered retrieval-augmented generation (RAG) for clinical precedent search across </w:t>
      </w:r>
      <w:r>
        <w:rPr>
          <w:b/>
        </w:rPr>
        <w:t>80+ chronic conditions</w:t>
      </w:r>
      <w:r>
        <w:t>, because a database filter returns a cohort, not the most analogous decisions</w:t>
      </w:r>
    </w:p>
    <w:p>
      <w:pPr>
        <w:pStyle w:val="ListBullet"/>
      </w:pPr>
      <w:r>
        <w:t xml:space="preserve">Optimised retrieval around the decision, not the patient, via tenant-filtered </w:t>
      </w:r>
      <w:r>
        <w:rPr>
          <w:b/>
        </w:rPr>
        <w:t>Elasticsearch dense_vector</w:t>
      </w:r>
      <w:r>
        <w:t xml:space="preserve"> nearest-neighbour search, tuned to a 0.75 normalised discounted cumulative gain target</w:t>
      </w:r>
    </w:p>
    <w:p>
      <w:pPr>
        <w:pStyle w:val="ListBullet"/>
      </w:pPr>
      <w:r>
        <w:t xml:space="preserve">Launched the precedent panel </w:t>
      </w:r>
      <w:r>
        <w:rPr>
          <w:b/>
        </w:rPr>
        <w:t>in production</w:t>
      </w:r>
      <w:r>
        <w:t xml:space="preserve"> for doctors, health coaches and guidance counsellors, answering cases short of 7 required fields with a plain cohort count</w:t>
      </w:r>
    </w:p>
    <w:p>
      <w:pPr>
        <w:pStyle w:val="ListBullet"/>
      </w:pPr>
      <w:r>
        <w:t xml:space="preserve">Conceived a </w:t>
      </w:r>
      <w:r>
        <w:rPr>
          <w:b/>
        </w:rPr>
        <w:t>multi-agent orchestrator</w:t>
      </w:r>
      <w:r>
        <w:t xml:space="preserve"> showing which care decisions followed when a patient's payments, adherence and support broke inside one 90-day window</w:t>
      </w:r>
    </w:p>
    <w:p>
      <w:pPr>
        <w:pStyle w:val="ListBullet"/>
      </w:pPr>
      <w:r>
        <w:t xml:space="preserve">Developed orchestration as a deterministic LangGraph state graph: </w:t>
      </w:r>
      <w:r>
        <w:rPr>
          <w:b/>
        </w:rPr>
        <w:t>3 blind finder agents</w:t>
      </w:r>
      <w:r>
        <w:t xml:space="preserve"> run in parallel; a barrier re-verifies every proposed patient against a frozen snapshot</w:t>
      </w:r>
    </w:p>
    <w:p>
      <w:pPr>
        <w:pStyle w:val="ListBullet"/>
      </w:pPr>
      <w:r>
        <w:t xml:space="preserve">Shipped the orchestrator to production behind </w:t>
      </w:r>
      <w:r>
        <w:rPr>
          <w:b/>
        </w:rPr>
        <w:t>executive and operations dashboards</w:t>
      </w:r>
      <w:r>
        <w:t xml:space="preserve"> and audited per-patient drill-ins, suppressing any delta failing a 0.10 balance gate</w:t>
      </w:r>
    </w:p>
    <w:p>
      <w:pPr>
        <w:pStyle w:val="ListBullet"/>
      </w:pPr>
      <w:r>
        <w:t xml:space="preserve">Secured protected health information inside the client virtual private cloud, self-hosting </w:t>
      </w:r>
      <w:r>
        <w:rPr>
          <w:b/>
        </w:rPr>
        <w:t>Llama 3.1</w:t>
      </w:r>
      <w:r>
        <w:t xml:space="preserve"> on Ollama, embeddings and LangSmith tracing so patient data never left</w:t>
      </w:r>
    </w:p>
    <w:p>
      <w:pPr>
        <w:pStyle w:val="ListBullet"/>
      </w:pPr>
      <w:r>
        <w:t xml:space="preserve">Restricted large language models (LLMs) to narrating code-computed numbers — pinned model, temperature 0, chain hash, field-level claim grammar — designed to reject </w:t>
      </w:r>
      <w:r>
        <w:rPr>
          <w:b/>
        </w:rPr>
        <w:t>100% of uncited claims</w:t>
      </w:r>
    </w:p>
    <w:p>
      <w:pPr>
        <w:pStyle w:val="ListBullet"/>
      </w:pPr>
      <w:r>
        <w:t xml:space="preserve">Instituted confounder-gated cohort comparisons, since clinicians override on their sickest patients, making any headline failing a </w:t>
      </w:r>
      <w:r>
        <w:rPr>
          <w:b/>
        </w:rPr>
        <w:t>0.1 standardised mean difference</w:t>
      </w:r>
      <w:r>
        <w:t xml:space="preserve"> balance check unrepresentable</w:t>
      </w:r>
    </w:p>
    <w:p>
      <w:pPr>
        <w:pStyle w:val="ListBullet"/>
      </w:pPr>
      <w:r>
        <w:t xml:space="preserve">Strengthened statistical rigour across </w:t>
      </w:r>
      <w:r>
        <w:rPr>
          <w:b/>
        </w:rPr>
        <w:t>6 production pipelines</w:t>
      </w:r>
      <w:r>
        <w:t xml:space="preserve"> with propensity matching, B=2000 bootstrap resamples and a Rosenbaum γ plus E-value sensitivity battery, feeding governed dashboards</w:t>
      </w:r>
    </w:p>
    <w:p>
      <w:pPr>
        <w:pStyle w:val="ListBullet"/>
      </w:pPr>
      <w:r>
        <w:t xml:space="preserve">Transformed patient event histories into a relapse early-warning model on </w:t>
      </w:r>
      <w:r>
        <w:rPr>
          <w:b/>
        </w:rPr>
        <w:t>Amazon SageMaker</w:t>
      </w:r>
      <w:r>
        <w:t>, since relapse, at a 5–15% base rate, shows in event order, not counts</w:t>
      </w:r>
    </w:p>
    <w:p>
      <w:pPr>
        <w:pStyle w:val="ListBullet"/>
      </w:pPr>
      <w:r>
        <w:t xml:space="preserve">Gated the model on </w:t>
      </w:r>
      <w:r>
        <w:rPr>
          <w:b/>
        </w:rPr>
        <w:t>6-month</w:t>
      </w:r>
      <w:r>
        <w:t xml:space="preserve"> matured outcome labels, then rolled it out to health coaches under per-coach daily alert budgets and an owned alert lifecycle</w:t>
      </w:r>
    </w:p>
    <w:p>
      <w:pPr>
        <w:pStyle w:val="ListBullet"/>
      </w:pPr>
      <w:r>
        <w:t xml:space="preserve">Enforced multi-tenant isolation under a Health Insurance Portability and Accountability Act (HIPAA) framework across </w:t>
      </w:r>
      <w:r>
        <w:rPr>
          <w:b/>
        </w:rPr>
        <w:t>10 production pipelines</w:t>
      </w:r>
      <w:r>
        <w:t xml:space="preserve"> — tenant-scoped traversal-source wrapper, Parquet partitioning, runtime assertions</w:t>
      </w:r>
    </w:p>
    <w:p>
      <w:pPr>
        <w:pStyle w:val="ListBullet"/>
      </w:pPr>
      <w:r>
        <w:t xml:space="preserve">Deployed Datadog observability since nobody knew why the chat platform was unreliable, cutting errors to </w:t>
      </w:r>
      <w:r>
        <w:rPr>
          <w:b/>
        </w:rPr>
        <w:t>under 3%</w:t>
      </w:r>
      <w:r>
        <w:t xml:space="preserve"> and revealing ~50 downstream calls per patient message</w:t>
      </w:r>
    </w:p>
    <w:p>
      <w:pPr>
        <w:pStyle w:val="ListBullet"/>
      </w:pPr>
      <w:r>
        <w:t xml:space="preserve">Spearheaded the chat service rewrite from Node.js to Go, reaching </w:t>
      </w:r>
      <w:r>
        <w:rPr>
          <w:b/>
        </w:rPr>
        <w:t>100,000 concurrent connections</w:t>
      </w:r>
      <w:r>
        <w:t xml:space="preserve"> at P95 under 16 ms in k6-validated burst testing</w:t>
      </w:r>
    </w:p>
    <w:p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Fan-Out, expanding 4 to 1,200 shards, as production headroom against spikes beyond the burst test</w:t>
      </w:r>
    </w:p>
    <w:p>
      <w:pPr>
        <w:pStyle w:val="ListBullet"/>
      </w:pPr>
      <w:r>
        <w:t xml:space="preserve">Reimagined the data layer across DynamoDB, PostgreSQL and OpenSearch with partition-key and indexing design holding </w:t>
      </w:r>
      <w:r>
        <w:rPr>
          <w:b/>
        </w:rPr>
        <w:t>P95 under 30 ms</w:t>
      </w:r>
      <w:r>
        <w:t xml:space="preserve"> at 100,000-user load</w:t>
      </w:r>
    </w:p>
    <w:p>
      <w:pPr>
        <w:pStyle w:val="ListBullet"/>
      </w:pPr>
      <w:r>
        <w:t xml:space="preserve">Published React Native apps to 2 app stores with Firebase Cloud Messaging and Apple Push Notification service (APNs), moving </w:t>
      </w:r>
      <w:r>
        <w:rPr>
          <w:b/>
        </w:rPr>
        <w:t>10,000+ patients</w:t>
      </w:r>
      <w:r>
        <w:t xml:space="preserve"> off third-party messaging</w:t>
      </w:r>
    </w:p>
    <w:p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6 sub-teams — backend, React Native, web, artificial intelligence, quality assurance (QA), DevOps — standardised on Go and DynamoDB</w:t>
      </w:r>
    </w:p>
    <w:p>
      <w:pPr>
        <w:pStyle w:val="ListBullet"/>
      </w:pPr>
      <w:r>
        <w:t xml:space="preserve">Drove a Claude Code and OpenAI Codex rollout across a </w:t>
      </w:r>
      <w:r>
        <w:rPr>
          <w:b/>
        </w:rPr>
        <w:t>20-engineer team</w:t>
      </w:r>
      <w:r>
        <w:t xml:space="preserve"> — daily design exploration, first-cut implementation and test scaffolding, all under hands-on review</w:t>
      </w:r>
    </w:p>
    <w:p>
      <w:pPr>
        <w:pStyle w:val="ListBullet"/>
      </w:pPr>
      <w:r>
        <w:t xml:space="preserve">Provisioned Amazon Web Services on Kubernetes, Terraform and Elastic Container Service Fargate at 70% Spot — deploys </w:t>
      </w:r>
      <w:r>
        <w:rPr>
          <w:b/>
        </w:rPr>
        <w:t>under 10 minutes</w:t>
      </w:r>
      <w:r>
        <w:t>, infrastructure cost down 25–30%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 xml:space="preserve">Dec '19 - </w:t>
      </w:r>
      <w:r>
        <w:rPr>
          <w:color w:val="000000"/>
        </w:rPr>
        <w:t>Feb '25</w:t>
      </w:r>
    </w:p>
    <w:p>
      <w:pPr>
        <w:pStyle w:val="Heading3"/>
        <w:tabs>
          <w:tab w:pos="11119" w:val="right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Reframed axe Monitor's bottleneck as deployment, not product: </w:t>
      </w:r>
      <w:r>
        <w:rPr>
          <w:b/>
        </w:rPr>
        <w:t>280 clients</w:t>
      </w:r>
      <w:r>
        <w:t>, each on its own instance, version and Keycloak, so every upgrade and trial multiplied</w:t>
      </w:r>
    </w:p>
    <w:p>
      <w:pPr>
        <w:pStyle w:val="ListBullet"/>
      </w:pPr>
      <w:r>
        <w:t xml:space="preserve">Implemented multi-tenancy as an organisation identifier on every table, resolving tenant from the JSON Web Token (JWT) into </w:t>
      </w:r>
      <w:r>
        <w:rPr>
          <w:b/>
        </w:rPr>
        <w:t>1 code path</w:t>
      </w:r>
      <w:r>
        <w:t>, not database-per-customer</w:t>
      </w:r>
    </w:p>
    <w:p>
      <w:pPr>
        <w:pStyle w:val="ListBullet"/>
      </w:pPr>
      <w:r>
        <w:t xml:space="preserve">Steered 70–80% of customers onto shared axe Monitor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>
      <w:pPr>
        <w:pStyle w:val="ListBullet"/>
      </w:pPr>
      <w:r>
        <w:t xml:space="preserve">Exposed shared platform application programming interfaces (APIs) to </w:t>
      </w:r>
      <w:r>
        <w:rPr>
          <w:b/>
        </w:rPr>
        <w:t>280 axe Monitor clients</w:t>
      </w:r>
      <w:r>
        <w:t xml:space="preserve"> — Jira integration, API versioning, customer-specific frontends on one Spring Boot backend, backward compatibility</w:t>
      </w:r>
    </w:p>
    <w:p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only where a component needed independent scaling or its own multi-tenant database</w:t>
      </w:r>
    </w:p>
    <w:p>
      <w:pPr>
        <w:pStyle w:val="ListBullet"/>
      </w:pPr>
      <w:r>
        <w:t xml:space="preserve">Productized a billing and subscription service for </w:t>
      </w:r>
      <w:r>
        <w:rPr>
          <w:b/>
        </w:rPr>
        <w:t>every Deque product</w:t>
      </w:r>
      <w:r>
        <w:t>, restricting features by tier, porting it from Node.js/TypeScript to Java and Spring Boot</w:t>
      </w:r>
    </w:p>
    <w:p>
      <w:pPr>
        <w:pStyle w:val="ListBullet"/>
      </w:pPr>
      <w:r>
        <w:t xml:space="preserve">Forged central authentication in Java and Spring Boot on OAuth 2.0, folding every instance's local Keycloak into Red Hat single sign-on with </w:t>
      </w:r>
      <w:r>
        <w:rPr>
          <w:b/>
        </w:rPr>
        <w:t>zero end-user disruption</w:t>
      </w:r>
    </w:p>
    <w:p>
      <w:pPr>
        <w:pStyle w:val="ListBullet"/>
      </w:pPr>
      <w:r>
        <w:t xml:space="preserve">Stewarded every axe Auditor instance from PostgreSQL 9.6, bundled in its Docker Compose stack, to Amazon Aurora PostgreSQL 13.x with </w:t>
      </w:r>
      <w:r>
        <w:rPr>
          <w:b/>
        </w:rPr>
        <w:t>zero downtime</w:t>
      </w:r>
    </w:p>
    <w:p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40% by moving PostgreSQL onto Amazon Relational Database Service (RDS)</w:t>
      </w:r>
    </w:p>
    <w:p>
      <w:pPr>
        <w:pStyle w:val="ListBullet"/>
      </w:pPr>
      <w:r>
        <w:t xml:space="preserve">Modernised continuous integration and continuous delivery (CI/CD) from Jenkins to GitHub Actions, achieving ISO 27001 and </w:t>
      </w:r>
      <w:r>
        <w:rPr>
          <w:b/>
        </w:rPr>
        <w:t>50% faster</w:t>
      </w:r>
      <w:r>
        <w:t xml:space="preserve"> release cycles</w:t>
      </w:r>
    </w:p>
    <w:p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Puppeteer</w:t>
      </w:r>
    </w:p>
    <w:p>
      <w:pPr>
        <w:pStyle w:val="ListBullet"/>
      </w:pPr>
      <w:r>
        <w:t xml:space="preserve">Tackled accessibility teams' blind spot, unknown page counts and unannounced uniform resource locator (URL) changes, with spider discovery </w:t>
      </w:r>
      <w:r>
        <w:rPr>
          <w:b/>
        </w:rPr>
        <w:t>1 to 5 levels deep, or all</w:t>
      </w:r>
    </w:p>
    <w:p>
      <w:pPr>
        <w:pStyle w:val="ListBullet"/>
      </w:pPr>
      <w:r>
        <w:t xml:space="preserve">Orchestrated spider jobs and scheduled axe-core scans for </w:t>
      </w:r>
      <w:r>
        <w:rPr>
          <w:b/>
        </w:rPr>
        <w:t>280 axe Monitor clients</w:t>
      </w:r>
      <w:r>
        <w:t>, comparing each run with the last to flag new, fixed and regressed pages</w:t>
      </w:r>
    </w:p>
    <w:p>
      <w:pPr>
        <w:pStyle w:val="ListBullet"/>
      </w:pPr>
      <w:r>
        <w:t xml:space="preserve">Constructed comparable test runs in the axe DevTools browser extension, running axe-core on </w:t>
      </w:r>
      <w:r>
        <w:rPr>
          <w:b/>
        </w:rPr>
        <w:t>every page and user action</w:t>
      </w:r>
      <w:r>
        <w:t xml:space="preserve"> in a flow, de-duplicating issues server-side</w:t>
      </w:r>
    </w:p>
    <w:p>
      <w:pPr>
        <w:pStyle w:val="ListBullet"/>
      </w:pPr>
      <w:r>
        <w:t xml:space="preserve">Broadened axe DevTools scanning into cross-origin iframes, which the browser's security model hid and where the extension reported </w:t>
      </w:r>
      <w:r>
        <w:rPr>
          <w:b/>
        </w:rPr>
        <w:t>zero issues</w:t>
      </w:r>
      <w:r>
        <w:t>, landing phase 1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 xml:space="preserve">Aug '18 - </w:t>
      </w:r>
      <w:r>
        <w:rPr>
          <w:color w:val="000000"/>
        </w:rPr>
        <w:t>Jul '19</w:t>
      </w:r>
    </w:p>
    <w:p>
      <w:pPr>
        <w:pStyle w:val="Heading3"/>
        <w:tabs>
          <w:tab w:pos="11119" w:val="right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Java and Spring Boot microservices, defining boundaries across z/OS mainframe and distributed platforms</w:t>
      </w:r>
    </w:p>
    <w:p>
      <w:pPr>
        <w:pStyle w:val="ListBullet"/>
      </w:pPr>
      <w:r>
        <w:t xml:space="preserve">Surfaced defect hot-spots by isolating services behind representational state transfer (REST) interfaces, reducing reported bugs </w:t>
      </w:r>
      <w:r>
        <w:rPr>
          <w:b/>
        </w:rPr>
        <w:t>over 50%</w:t>
      </w:r>
    </w:p>
    <w:p>
      <w:pPr>
        <w:pStyle w:val="ListBullet"/>
      </w:pPr>
      <w:r>
        <w:t xml:space="preserve">Partnered with product to extend platform support to Windows and three Linux distributions — Ubuntu, CentOS, Red Hat Enterprise Linux (RHEL) — raising sales </w:t>
      </w:r>
      <w:r>
        <w:rPr>
          <w:b/>
        </w:rPr>
        <w:t>over 20%</w:t>
      </w:r>
    </w:p>
    <w:p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Software Engineer III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Co-Founder &amp; VP of Technology</w:t>
      </w:r>
      <w:r>
        <w:tab/>
      </w:r>
      <w:r>
        <w:rPr>
          <w:color w:val="000000"/>
        </w:rPr>
        <w:t xml:space="preserve">Mar '17 - </w:t>
      </w:r>
      <w:r>
        <w:rPr>
          <w:color w:val="000000"/>
        </w:rPr>
        <w:t>Apr '18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Co-founded VoltusWave and released its first no-code application Platform-as-a-Service (aPaaS) for web and Android on Amazon Elastic Container Service, winning </w:t>
      </w:r>
      <w:r>
        <w:rPr>
          <w:b/>
        </w:rPr>
        <w:t>8 early enterprise clients</w:t>
      </w:r>
    </w:p>
    <w:p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13 months, mentoring freshers and seniors and setting the architectural roadmap later products followed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Software Engineer</w:t>
      </w:r>
      <w:r>
        <w:tab/>
      </w:r>
      <w:r>
        <w:rPr>
          <w:color w:val="000000"/>
        </w:rPr>
        <w:t xml:space="preserve">Mar '16 - </w:t>
      </w:r>
      <w:r>
        <w:rPr>
          <w:color w:val="000000"/>
        </w:rPr>
        <w:t>Mar '17</w:t>
      </w:r>
    </w:p>
    <w:p>
      <w:pPr>
        <w:pStyle w:val="Heading3"/>
        <w:tabs>
          <w:tab w:pos="11119" w:val="right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Codified a MuleSoft enterprise service bus scatter-gather giving sales reps </w:t>
      </w:r>
      <w:r>
        <w:rPr>
          <w:b/>
        </w:rPr>
        <w:t>25 suppliers' rates</w:t>
      </w:r>
      <w:r>
        <w:t xml:space="preserve"> in parallel, superseding .NET 2.0 code a prior team could not upgrade</w:t>
      </w:r>
    </w:p>
    <w:p>
      <w:pPr>
        <w:pStyle w:val="ListBullet"/>
      </w:pPr>
      <w:r>
        <w:t xml:space="preserve">Retired a third-party hotel pricing search whose load-based billing grew with </w:t>
      </w:r>
      <w:r>
        <w:rPr>
          <w:b/>
        </w:rPr>
        <w:t>2–3 million daily requests</w:t>
      </w:r>
      <w:r>
        <w:t xml:space="preserve"> at peak, calling suppliers directly instead</w:t>
      </w:r>
    </w:p>
    <w:p>
      <w:pPr>
        <w:pStyle w:val="ListBullet"/>
      </w:pPr>
      <w:r>
        <w:t xml:space="preserve">Cached airport-destination-date queries on in-house Elasticsearch, Logstash and Kibana (ELK) with a 20-minute time-to-live, suppliers called only on a miss, lowering operational cost </w:t>
      </w:r>
      <w:r>
        <w:rPr>
          <w:b/>
        </w:rPr>
        <w:t>46%</w:t>
      </w:r>
    </w:p>
    <w:p>
      <w:pPr>
        <w:pStyle w:val="ListBullet"/>
      </w:pPr>
      <w:r>
        <w:t xml:space="preserve">Traced hidden hotel inventory to clashing identifiers across 25 suppliers, where unmapped properties lacked images and ratings, and adopted licensed </w:t>
      </w:r>
      <w:r>
        <w:rPr>
          <w:b/>
        </w:rPr>
        <w:t>GIATA MultiCodes</w:t>
      </w:r>
    </w:p>
    <w:p>
      <w:pPr>
        <w:pStyle w:val="ListBullet"/>
      </w:pPr>
      <w:r>
        <w:t xml:space="preserve">Mechanised the reconciliation pipeline on Amazon Web Services (AWS) Lambda with human approval retained, growing revenue </w:t>
      </w:r>
      <w:r>
        <w:rPr>
          <w:b/>
        </w:rPr>
        <w:t>8% month over month</w:t>
      </w:r>
    </w:p>
    <w:p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 and ranking direct-contract properties first across 2–3 million daily requests at peak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 xml:space="preserve">May '15 - </w:t>
      </w:r>
      <w:r>
        <w:rPr>
          <w:color w:val="000000"/>
        </w:rPr>
        <w:t>Nov '15</w:t>
      </w:r>
    </w:p>
    <w:p>
      <w:pPr>
        <w:pStyle w:val="Heading3"/>
        <w:tabs>
          <w:tab w:pos="11119" w:val="right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Pinpointed </w:t>
      </w:r>
      <w:r>
        <w:rPr>
          <w:b/>
        </w:rPr>
        <w:t>2 paid Microsoft licences</w:t>
      </w:r>
      <w:r>
        <w:t>, Windows Server and SQL Server, as the biggest customer cost objection to a Governance, Risk and Compliance (GRC) platform</w:t>
      </w:r>
    </w:p>
    <w:p>
      <w:pPr>
        <w:pStyle w:val="ListBullet"/>
      </w:pPr>
      <w:r>
        <w:t xml:space="preserve">Recast the SQL Server data model as MySQL on Ubuntu and Node.js, a </w:t>
      </w:r>
      <w:r>
        <w:rPr>
          <w:b/>
        </w:rPr>
        <w:t>2nd supported stack</w:t>
      </w:r>
      <w:r>
        <w:t xml:space="preserve"> for new enterprise accounts only, leaving Windows customers untouched</w:t>
      </w:r>
    </w:p>
    <w:p>
      <w:pPr>
        <w:pStyle w:val="ListBullet"/>
      </w:pPr>
      <w:r>
        <w:t xml:space="preserve">Unlocked </w:t>
      </w:r>
      <w:r>
        <w:rPr>
          <w:b/>
        </w:rPr>
        <w:t>12 new enterprise customers</w:t>
      </w:r>
      <w:r>
        <w:t xml:space="preserve"> in two months, October and November 2015, on the licence-free Linux deployment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 xml:space="preserve">Jul '13 - </w:t>
      </w:r>
      <w:r>
        <w:rPr>
          <w:color w:val="000000"/>
        </w:rPr>
        <w:t>May '15</w:t>
      </w:r>
    </w:p>
    <w:p>
      <w:pPr>
        <w:pStyle w:val="Heading3"/>
        <w:tabs>
          <w:tab w:pos="11119" w:val="right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Replatformed a server-rendered ASP.NET application into an AngularJS single-page application (SPA) over .NET Windows Communication Foundation (WCF) services, </w:t>
      </w:r>
      <w:r>
        <w:rPr>
          <w:b/>
        </w:rPr>
        <w:t>splitting 1 app into 2 tiers</w:t>
      </w:r>
    </w:p>
    <w:p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>, stored procedures, table design and indexing, clearing the query bottlenecks behind slow screen loads</w:t>
      </w:r>
    </w:p>
    <w:p>
      <w:pPr>
        <w:pStyle w:val="ListBullet"/>
      </w:pPr>
      <w:r>
        <w:t xml:space="preserve">Shortened screen load times </w:t>
      </w:r>
      <w:r>
        <w:rPr>
          <w:b/>
        </w:rPr>
        <w:t>60–70%</w:t>
      </w:r>
      <w:r>
        <w:t xml:space="preserve"> once the single-page client and tuned queries replaced server-rendered pages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 xml:space="preserve">Jun '12 - </w:t>
      </w:r>
      <w:r>
        <w:rPr>
          <w:color w:val="000000"/>
        </w:rPr>
        <w:t>May '13</w:t>
      </w:r>
    </w:p>
    <w:p>
      <w:pPr>
        <w:pStyle w:val="Heading3"/>
        <w:tabs>
          <w:tab w:pos="11119" w:val="right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>
      <w:pPr>
        <w:pStyle w:val="ListBullet"/>
      </w:pPr>
      <w:r>
        <w:t xml:space="preserve">Unified employee records from every store for leadership in a </w:t>
      </w:r>
      <w:r>
        <w:rPr>
          <w:b/>
        </w:rPr>
        <w:t>2-country</w:t>
      </w:r>
      <w:r>
        <w:t xml:space="preserve"> Master Data Management (MDM) pilot, United States and Canada, on SQL Server</w:t>
      </w:r>
    </w:p>
    <w:p>
      <w:pPr>
        <w:pStyle w:val="ListBullet"/>
      </w:pPr>
      <w:r>
        <w:t xml:space="preserve">Salvaged the unusable built-in MDM interface with a rebuilt front end, adding </w:t>
      </w:r>
      <w:r>
        <w:rPr>
          <w:b/>
        </w:rPr>
        <w:t>first seen and last updated</w:t>
      </w:r>
      <w:r>
        <w:t xml:space="preserve"> timestamps per field on every master record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 xml:space="preserve">Apr '08 - </w:t>
      </w:r>
      <w:r>
        <w:rPr>
          <w:color w:val="000000"/>
        </w:rPr>
        <w:t>May '12</w:t>
      </w:r>
    </w:p>
    <w:p>
      <w:pPr>
        <w:pStyle w:val="Heading3"/>
        <w:tabs>
          <w:tab w:pos="11119" w:val="right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Translated a Citrix-hosted Java application into JavaServer Pages (JSP) and Java Enterprise Edition for Tennessee Gas Pipeline, an </w:t>
      </w:r>
      <w:r>
        <w:rPr>
          <w:b/>
        </w:rPr>
        <w:t>11,800-mile</w:t>
      </w:r>
      <w:r>
        <w:t xml:space="preserve"> interstate system</w:t>
      </w:r>
    </w:p>
    <w:p>
      <w:pPr>
        <w:pStyle w:val="ListBullet"/>
      </w:pPr>
      <w:r>
        <w:t xml:space="preserve">Authored </w:t>
      </w:r>
      <w:r>
        <w:rPr>
          <w:b/>
        </w:rPr>
        <w:t>3 core modules</w:t>
      </w:r>
      <w:r>
        <w:t xml:space="preserve"> — Nominations, Flowing Gas and Contracts — covering scheduling and contracting for interstate gas transport over 4 years</w:t>
      </w:r>
    </w:p>
    <w:p>
      <w:pPr>
        <w:pStyle w:val="ListBullet"/>
      </w:pPr>
      <w:r>
        <w:t xml:space="preserve">Refactored the scheduling modules' schema and stored procedures through a </w:t>
      </w:r>
      <w:r>
        <w:rPr>
          <w:b/>
        </w:rPr>
        <w:t>SQL Server 2000 to 2005</w:t>
      </w:r>
      <w:r>
        <w:t xml:space="preserve"> migration, owning table and index design and query tuning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 xml:space="preserve">Apr '07 - </w:t>
      </w:r>
      <w:r>
        <w:rPr>
          <w:color w:val="000000"/>
        </w:rPr>
        <w:t>Apr '08</w:t>
      </w:r>
    </w:p>
    <w:p>
      <w:pPr>
        <w:pStyle w:val="Heading3"/>
        <w:tabs>
          <w:tab w:pos="11119" w:val="right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Bridged suppliers and buyers through a .NET portal on SQL Server 2005, integrating </w:t>
      </w:r>
      <w:r>
        <w:rPr>
          <w:b/>
        </w:rPr>
        <w:t>Mexican PayPal</w:t>
      </w:r>
      <w:r>
        <w:t xml:space="preserve"> to settle payments inside the portal</w:t>
      </w:r>
    </w:p>
    <w:p>
      <w:pPr>
        <w:pStyle w:val="ListBullet"/>
      </w:pPr>
      <w:r>
        <w:t xml:space="preserve">Seeded portal adoption with a Windows service sweeping </w:t>
      </w:r>
      <w:r>
        <w:rPr>
          <w:b/>
        </w:rPr>
        <w:t>every invoice</w:t>
      </w:r>
      <w:r>
        <w:t xml:space="preserve"> from a watched folder to the server, built to move everyone onto the portal</w:t>
      </w:r>
    </w:p>
    <w:p>
      <w:pPr>
        <w:pStyle w:val="Heading2"/>
      </w:pPr>
      <w:r>
        <w:t>Education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>
      <w:pPr>
        <w:pStyle w:val="Heading3"/>
      </w:pPr>
      <w:r>
        <w:rPr>
          <w:b/>
        </w:rPr>
        <w:t>University of Houston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>
      <w:pPr>
        <w:pStyle w:val="Heading3"/>
      </w:pPr>
      <w:r>
        <w:rPr>
          <w:b/>
        </w:rPr>
        <w:t>IIIT Bangalore</w:t>
      </w:r>
    </w:p>
    <w:sectPr w:rsidR="00FC693F" w:rsidRPr="0006063C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5" w:line="259" w:lineRule="auto"/>
      <w:jc w:val="left"/>
    </w:pPr>
    <w:rPr>
      <w:rFonts w:ascii="Calibri" w:hAnsi="Calibri" w:eastAsia="Calibri" w:cs="Calibri"/>
      <w:color w:val="00000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="Calibri" w:hAnsi="Calibri" w:eastAsia="Calibri" w:cs="Calibri"/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rFonts w:ascii="Calibri" w:hAnsi="Calibri" w:eastAsia="Calibri" w:cs="Calibri"/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rFonts w:ascii="Calibri" w:hAnsi="Calibri" w:eastAsia="Calibri" w:cs="Calibri"/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45"/>
      <w:outlineLvl w:val="3"/>
    </w:pPr>
    <w:rPr>
      <w:rFonts w:ascii="Calibri" w:hAnsi="Calibri" w:eastAsia="Calibri" w:cs="Calibri"/>
      <w:bCs/>
      <w:iCs/>
      <w:color w:val="000000"/>
      <w:sz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before="0" w:after="120"/>
      <w:jc w:val="left"/>
    </w:pPr>
    <w:rPr>
      <w:rFonts w:ascii="Calibri" w:hAnsi="Calibri" w:eastAsia="Calibri" w:cs="Calibri"/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9" w:line="259" w:lineRule="auto"/>
      <w:ind w:left="240" w:hanging="168"/>
      <w:jc w:val="left"/>
    </w:pPr>
    <w:rPr>
      <w:rFonts w:ascii="Calibri" w:hAnsi="Calibri" w:eastAsia="Calibri" w:cs="Calibri"/>
      <w:color w:val="000000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328EF7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hisheik@abhideo.ai" TargetMode="External"/><Relationship Id="rId10" Type="http://schemas.openxmlformats.org/officeDocument/2006/relationships/hyperlink" Target="https://www.linkedin.com/in/abhisheikde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1</cp:revision>
  <dcterms:created xsi:type="dcterms:W3CDTF">2013-12-23T23:15:00Z</dcterms:created>
  <dcterms:modified xsi:type="dcterms:W3CDTF">2013-12-23T23:15:00Z</dcterms:modified>
  <cp:category/>
</cp:coreProperties>
</file>