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Engineered a production retrieval-augmented generation (RAG) service on </w:t>
      </w:r>
      <w:r>
        <w:rPr>
          <w:b/>
        </w:rPr>
        <w:t>Elasticsearch dense_vector</w:t>
      </w:r>
      <w:r>
        <w:t xml:space="preserve"> filtered nearest-neighbour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Tuned precedent retrieval on </w:t>
      </w:r>
      <w:r>
        <w:rPr>
          <w:b/>
        </w:rPr>
        <w:t>Elasticsearch dense_vector</w:t>
      </w:r>
      <w:r>
        <w:t xml:space="preserve"> search with self-hosted </w:t>
      </w:r>
      <w:r>
        <w:rPr>
          <w:b/>
        </w:rPr>
        <w:t>Amazon SageMaker</w:t>
      </w:r>
      <w:r>
        <w:t xml:space="preserve"> embedders, designed against warm-path </w:t>
      </w:r>
      <w:r>
        <w:rPr>
          <w:b/>
        </w:rPr>
        <w:t>P99 under 200 ms</w:t>
      </w:r>
      <w:r>
        <w:t xml:space="preserve"> and </w:t>
      </w:r>
      <w:r>
        <w:rPr>
          <w:b/>
        </w:rPr>
        <w:t>0.75 normalised discounted cumulative gain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Co-defined the </w:t>
      </w:r>
      <w:r>
        <w:rPr>
          <w:b/>
        </w:rPr>
        <w:t>killer queries</w:t>
      </w:r>
      <w:r>
        <w:t xml:space="preserve"> with the client's chief executive in AI discovery, separating production AI from a demo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 (FastAPI, LangChain, LangGraph)</w:t>
      </w:r>
      <w:r>
        <w:t xml:space="preserve"> on </w:t>
      </w:r>
      <w:r>
        <w:rPr>
          <w:b/>
        </w:rPr>
        <w:t>4 reusable archetypes</w:t>
      </w:r>
      <w:r>
        <w:t xml:space="preserve"> — Retrieval, Cohort Aggregation, Sequence Mining, Graph Traversal</w:t>
      </w:r>
    </w:p>
    <w:p>
      <w:pPr>
        <w:pStyle w:val="ListBullet"/>
      </w:pPr>
      <w:r>
        <w:t xml:space="preserve">Choreographed a deterministic </w:t>
      </w:r>
      <w:r>
        <w:rPr>
          <w:b/>
        </w:rPr>
        <w:t>multi-agent LangGraph</w:t>
      </w:r>
      <w:r>
        <w:t xml:space="preserve"> state graph live in production — </w:t>
      </w:r>
      <w:r>
        <w:rPr>
          <w:b/>
        </w:rPr>
        <w:t>3</w:t>
      </w:r>
      <w:r>
        <w:t xml:space="preserve"> blind parallel finder agents behind a barrier that rejects hallucinated candidates</w:t>
      </w:r>
    </w:p>
    <w:p>
      <w:pPr>
        <w:pStyle w:val="ListBullet"/>
      </w:pPr>
      <w:r>
        <w:t xml:space="preserve">Routed precedent-search model calls between self-hosted </w:t>
      </w:r>
      <w:r>
        <w:rPr>
          <w:b/>
        </w:rPr>
        <w:t>Llama 3.1 8B</w:t>
      </w:r>
      <w:r>
        <w:t xml:space="preserve"> and </w:t>
      </w:r>
      <w:r>
        <w:rPr>
          <w:b/>
        </w:rPr>
        <w:t>70B</w:t>
      </w:r>
      <w:r>
        <w:t xml:space="preserve"> escalation, pausing gate-suppressed queries for durable </w:t>
      </w:r>
      <w:r>
        <w:rPr>
          <w:b/>
        </w:rPr>
        <w:t>human-in-the-loop</w:t>
      </w:r>
      <w:r>
        <w:t xml:space="preserve"> review through LangGraph interrupts</w:t>
      </w:r>
    </w:p>
    <w:p>
      <w:pPr>
        <w:pStyle w:val="ListBullet"/>
      </w:pPr>
      <w:r>
        <w:t xml:space="preserve">Instrumented self-hosted </w:t>
      </w:r>
      <w:r>
        <w:rPr>
          <w:b/>
        </w:rPr>
        <w:t>LangSmith</w:t>
      </w:r>
      <w:r>
        <w:t xml:space="preserve"> tracing and an offline evaluation harness built to a </w:t>
      </w:r>
      <w:r>
        <w:rPr>
          <w:b/>
        </w:rPr>
        <w:t>100+ query</w:t>
      </w:r>
      <w:r>
        <w:t xml:space="preserve"> clinician-graded golden-set contract, version-pinning every score to its dataset and model</w:t>
      </w:r>
    </w:p>
    <w:p>
      <w:pPr>
        <w:pStyle w:val="ListBullet"/>
      </w:pPr>
      <w:r>
        <w:t xml:space="preserve">Instituted event sourcing on </w:t>
      </w:r>
      <w:r>
        <w:rPr>
          <w:b/>
        </w:rPr>
        <w:t>DynamoDB single-table</w:t>
      </w:r>
      <w:r>
        <w:t xml:space="preserve"> design with a deterministic </w:t>
      </w:r>
      <w:r>
        <w:rPr>
          <w:b/>
        </w:rPr>
        <w:t>Parquet</w:t>
      </w:r>
      <w:r>
        <w:t xml:space="preserve"> snapshot exporter and correction-event backbone, targeting </w:t>
      </w:r>
      <w:r>
        <w:rPr>
          <w:b/>
        </w:rPr>
        <w:t>P95 under 5 minutes</w:t>
      </w:r>
      <w:r>
        <w:t xml:space="preserve"> for dependency-targeted slice rebuilds</w:t>
      </w:r>
    </w:p>
    <w:p>
      <w:pPr>
        <w:pStyle w:val="ListBullet"/>
      </w:pPr>
      <w:r>
        <w:t xml:space="preserve">Projected an append-only </w:t>
      </w:r>
      <w:r>
        <w:rPr>
          <w:b/>
        </w:rPr>
        <w:t>DynamoDB</w:t>
      </w:r>
      <w:r>
        <w:t xml:space="preserve"> event spine, hydrated with </w:t>
      </w:r>
      <w:r>
        <w:rPr>
          <w:b/>
        </w:rPr>
        <w:t>9–10 years of patient history</w:t>
      </w:r>
      <w:r>
        <w:t xml:space="preserve">, through serverless </w:t>
      </w:r>
      <w:r>
        <w:rPr>
          <w:b/>
        </w:rPr>
        <w:t>AWS Lambda</w:t>
      </w:r>
      <w:r>
        <w:t xml:space="preserve"> into an </w:t>
      </w:r>
      <w:r>
        <w:rPr>
          <w:b/>
        </w:rPr>
        <w:t>Amazon Neptune</w:t>
      </w:r>
      <w:r>
        <w:t xml:space="preserve"> decision graph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 and </w:t>
      </w:r>
      <w:r>
        <w:rPr>
          <w:b/>
        </w:rPr>
        <w:t>Llama 3.1 on Ollama</w:t>
      </w:r>
      <w:r>
        <w:t xml:space="preserve"> for every model call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role-based access governance, audit trails for clinical workflows</w:t>
      </w:r>
    </w:p>
    <w:p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>
      <w:pPr>
        <w:pStyle w:val="ListBullet"/>
      </w:pPr>
      <w:r>
        <w:t xml:space="preserve">Extracted confounder-gated cohort comparisons behind propensity matching and </w:t>
      </w:r>
      <w:r>
        <w:rPr>
          <w:b/>
        </w:rPr>
        <w:t>standardised mean difference</w:t>
      </w:r>
      <w:r>
        <w:t xml:space="preserve"> balance checks, making an unbalanced headline unrepresentable in the output type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gated by a </w:t>
      </w:r>
      <w:r>
        <w:rPr>
          <w:b/>
        </w:rPr>
        <w:t>6-month</w:t>
      </w:r>
      <w:r>
        <w:t xml:space="preserve"> maturity window never to train on immature outcome labels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Forged central identity in </w:t>
      </w:r>
      <w:r>
        <w:rPr>
          <w:b/>
        </w:rPr>
        <w:t>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over </w:t>
      </w:r>
      <w:r>
        <w:rPr>
          <w:b/>
        </w:rPr>
        <w:t>OpenID Connect and OAuth 2.0</w:t>
      </w:r>
      <w:r>
        <w:t>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microservices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enterprise monolith into </w:t>
      </w:r>
      <w:r>
        <w:rPr>
          <w:b/>
        </w:rPr>
        <w:t>Java and Spring Boot</w:t>
      </w:r>
      <w:r>
        <w:t xml:space="preserve"> microservices, defining service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containerised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parallel </w:t>
      </w:r>
      <w:r>
        <w:rPr>
          <w:b/>
        </w:rPr>
        <w:t>scatter-gather integration</w:t>
      </w:r>
      <w:r>
        <w:t xml:space="preserve"> across </w:t>
      </w:r>
      <w:r>
        <w:rPr>
          <w:b/>
        </w:rPr>
        <w:t>25 hotel supplier APIs</w:t>
      </w:r>
      <w:r>
        <w:t xml:space="preserve"> on a </w:t>
      </w:r>
      <w:r>
        <w:rPr>
          <w:b/>
        </w:rPr>
        <w:t>MuleSoft enterprise service bus</w:t>
      </w:r>
      <w:r>
        <w:t xml:space="preserve">, superseding </w:t>
      </w:r>
      <w:r>
        <w:rPr>
          <w:b/>
        </w:rPr>
        <w:t>.NET 2.0</w:t>
      </w:r>
      <w:r>
        <w:t xml:space="preserve">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serverless </w:t>
      </w:r>
      <w:r>
        <w:rPr>
          <w:b/>
        </w:rPr>
        <w:t>AWS Lambda</w:t>
      </w:r>
      <w:r>
        <w:t xml:space="preserve"> with </w:t>
      </w:r>
      <w:r>
        <w:rPr>
          <w:b/>
        </w:rPr>
        <w:t>human-in-the-loop approval</w:t>
      </w:r>
      <w:r>
        <w:t xml:space="preserve">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