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7415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7415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In the ever-evolving landscape of museum management, the intersection of tradition and technology has become a crucial focal point.In response to this pressing need, the Artwork Inventory Management System emerges as a transformative solution, poised to redefine the way museums curate, preserve, and share their invaluable cultural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artifacts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The primary objectives of this system extend far beyond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digitizing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 catalogue cards.Facilitating the detailed and accurate documentation of each artwork, capturing nuanced information such as artist details, creation dates,etc.Establishing intricate connections between artworks, artists, movements, and exhibitions, providing a rich contextual tapestry for scholars and enthusiasts.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30"/>
          <w:szCs w:val="30"/>
          <w:rtl w:val="0"/>
        </w:rPr>
        <w:t xml:space="preserve">Implementing tools for the systematic tracking of artwork conditions, conservation activities, and restoration efforts, ensuring the longevity of cultural treasures.Creating an intuitive and user-friendly interface that caters to museum staff, curators, researchers, and the general public, fostering a deeper understanding and appreciation of the collection.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