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6"/>
        </w:rPr>
        <w:t>Challenges and Resolutions</w:t>
      </w:r>
    </w:p>
    <w:p>
      <w:pPr>
        <w:spacing w:after="320"/>
      </w:pPr>
      <w:r>
        <w:rPr>
          <w:i/>
          <w:color w:val="505050"/>
        </w:rPr>
        <w:t>8Byte.ai DevOps Technical Assignment</w:t>
      </w:r>
    </w:p>
    <w:p>
      <w:pPr>
        <w:spacing w:after="280"/>
      </w:pPr>
      <w:r>
        <w:rPr>
          <w:b/>
        </w:rPr>
        <w:t xml:space="preserve">Purpose. </w:t>
      </w:r>
      <w:r>
        <w:t>This document records the important implementation choices, trade-offs, and practical resolutions in the accompanying repository. It does not represent a claim of a completed AWS deployment.</w:t>
      </w:r>
    </w:p>
    <w:p>
      <w:pPr>
        <w:pStyle w:val="Heading1"/>
      </w:pPr>
      <w:r>
        <w:t>1. Choosing a runtime without overengineering</w:t>
      </w:r>
    </w:p>
    <w:p>
      <w:r>
        <w:rPr>
          <w:b/>
        </w:rPr>
        <w:t xml:space="preserve">Challenge. </w:t>
      </w:r>
      <w:r>
        <w:t>The assignment allows EC2, ECS, or EKS. Kubernetes would demonstrate breadth, but it introduces a control plane, cluster operations, and cost that are not needed to demonstrate the requested provisioning, delivery, and observability controls.</w:t>
      </w:r>
    </w:p>
    <w:p>
      <w:r>
        <w:rPr>
          <w:b/>
        </w:rPr>
        <w:t xml:space="preserve">Resolution. </w:t>
      </w:r>
      <w:r>
        <w:t>I selected Docker on an EC2 Auto Scaling Group behind an Application Load Balancer. It retains a portable deployment artifact, health checks, and a scale-out path while preserving time for CI/CD, security, and monitoring. ECS Fargate would be a sensible next managed-compute step if the service grows.</w:t>
      </w:r>
    </w:p>
    <w:p>
      <w:pPr>
        <w:pStyle w:val="Heading1"/>
      </w:pPr>
      <w:r>
        <w:t>2. Keeping private instances manageable</w:t>
      </w:r>
    </w:p>
    <w:p>
      <w:r>
        <w:rPr>
          <w:b/>
        </w:rPr>
        <w:t xml:space="preserve">Challenge. </w:t>
      </w:r>
      <w:r>
        <w:t>The application instances should not expose SSH or hold public IP addresses, but the delivery process still needs a reliable and auditable way to update them.</w:t>
      </w:r>
    </w:p>
    <w:p>
      <w:r>
        <w:rPr>
          <w:b/>
        </w:rPr>
        <w:t xml:space="preserve">Resolution. </w:t>
      </w:r>
      <w:r>
        <w:t>The design uses AWS Systems Manager and an instance role. GitHub Actions obtains short-lived AWS credentials through OIDC and requests SSM deployment commands. SSM interface endpoints support management traffic without opening inbound administrative ports.</w:t>
      </w:r>
    </w:p>
    <w:p>
      <w:pPr>
        <w:pStyle w:val="Heading1"/>
      </w:pPr>
      <w:r>
        <w:t>3. Making Terraform state collaboration-safe</w:t>
      </w:r>
    </w:p>
    <w:p>
      <w:r>
        <w:rPr>
          <w:b/>
        </w:rPr>
        <w:t xml:space="preserve">Challenge. </w:t>
      </w:r>
      <w:r>
        <w:t>Local Terraform state can reveal infrastructure metadata and conflicts when multiple operators work on an environment.</w:t>
      </w:r>
    </w:p>
    <w:p>
      <w:r>
        <w:rPr>
          <w:b/>
        </w:rPr>
        <w:t xml:space="preserve">Resolution. </w:t>
      </w:r>
      <w:r>
        <w:t>A bootstrap stack creates an encrypted, versioned, public-blocked S3 state bucket and DynamoDB lock table. The account-specific backend configuration is intentionally a placeholder and is excluded from Git.</w:t>
      </w:r>
    </w:p>
    <w:p>
      <w:pPr>
        <w:pStyle w:val="Heading1"/>
      </w:pPr>
      <w:r>
        <w:t>4. Promoting the same artifact safely</w:t>
      </w:r>
    </w:p>
    <w:p>
      <w:r>
        <w:rPr>
          <w:b/>
        </w:rPr>
        <w:t xml:space="preserve">Challenge. </w:t>
      </w:r>
      <w:r>
        <w:t>Automatically deploying every merge to production increases risk, and rebuilding at promotion time may result in a different artifact.</w:t>
      </w:r>
    </w:p>
    <w:p>
      <w:r>
        <w:rPr>
          <w:b/>
        </w:rPr>
        <w:t xml:space="preserve">Resolution. </w:t>
      </w:r>
      <w:r>
        <w:t>The pipeline publishes an immutable commit-SHA tag, deploys that tag to staging, then pauses at a GitHub Environment that requires approval. Production pulls the same SHA. Rollback is a deliberate redeployment of the last known-good SHA.</w:t>
      </w:r>
    </w:p>
    <w:p>
      <w:pPr>
        <w:pStyle w:val="Heading1"/>
      </w:pPr>
      <w:r>
        <w:t>5. Turning observability into operating signals</w:t>
      </w:r>
    </w:p>
    <w:p>
      <w:r>
        <w:rPr>
          <w:b/>
        </w:rPr>
        <w:t xml:space="preserve">Challenge. </w:t>
      </w:r>
      <w:r>
        <w:t>Native EC2 metrics do not include memory or disk, and raw logs alone are difficult to use during an incident.</w:t>
      </w:r>
    </w:p>
    <w:p>
      <w:r>
        <w:rPr>
          <w:b/>
        </w:rPr>
        <w:t xml:space="preserve">Resolution. </w:t>
      </w:r>
      <w:r>
        <w:t>CloudWatch Agent configuration collects CPU, memory, disk, system logs, and Docker/application logs. Separate infrastructure/database and application/edge dashboards expose capacity, availability, latency, and error signals. Alarms focus on actionable conditions such as ALB 5XX errors and low RDS storage.</w:t>
      </w:r>
    </w:p>
    <w:p>
      <w:pPr>
        <w:pStyle w:val="Heading1"/>
      </w:pPr>
      <w:r>
        <w:t>6. Balancing security with assignment portability</w:t>
      </w:r>
    </w:p>
    <w:p>
      <w:r>
        <w:rPr>
          <w:b/>
        </w:rPr>
        <w:t xml:space="preserve">Challenge. </w:t>
      </w:r>
      <w:r>
        <w:t>A production design should use AWS Secrets Manager, TLS, least-privilege roles, and tested recovery; an assignment repository must remain runnable and reviewable without embedding credentials.</w:t>
      </w:r>
    </w:p>
    <w:p>
      <w:r>
        <w:rPr>
          <w:b/>
        </w:rPr>
        <w:t xml:space="preserve">Resolution. </w:t>
      </w:r>
      <w:r>
        <w:t>The repository explicitly marks all values the candidate must configure, uses sensitive Terraform variables only as a self-contained placeholder, and documents the production replacement with Secrets Manager, ACM, GitHub OIDC, encrypted storage, backups, and restore testing.</w:t>
      </w:r>
    </w:p>
    <w:p>
      <w:pPr>
        <w:pStyle w:val="Heading1"/>
      </w:pPr>
      <w:r>
        <w:t>Next improvements</w:t>
      </w:r>
    </w:p>
    <w:p>
      <w:pPr>
        <w:pStyle w:val="ListBullet"/>
      </w:pPr>
      <w:r>
        <w:t>Use Secrets Manager injection and HTTPS before exposing a public URL.</w:t>
      </w:r>
    </w:p>
    <w:p>
      <w:pPr>
        <w:pStyle w:val="ListBullet"/>
      </w:pPr>
      <w:r>
        <w:t>Set two application instances across AZs, enable RDS Multi-AZ, and test RDS point-in-time restore.</w:t>
      </w:r>
    </w:p>
    <w:p>
      <w:pPr>
        <w:pStyle w:val="ListBullet"/>
      </w:pPr>
      <w:r>
        <w:t>Replace instance-ID deployments with ASG instance refresh or blue/green deployment.</w:t>
      </w:r>
    </w:p>
    <w:p>
      <w:pPr>
        <w:pStyle w:val="ListBullet"/>
      </w:pPr>
      <w:r>
        <w:t>Route failed SSM deployment events and critical CloudWatch alarms to the team’s notification channel.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Candidate submission | Challenges and resolutions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</w:rPr>
      <w:t>8Byte.ai DevOps Technical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