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12A8D8"/>
          <w:sz w:val="24"/>
        </w:rPr>
        <w:t>ITRI APPLICATION</w:t>
      </w:r>
    </w:p>
    <w:p>
      <w:pPr>
        <w:pStyle w:val="Title"/>
      </w:pPr>
      <w:r>
        <w:t>Technical Design</w:t>
      </w:r>
    </w:p>
    <w:p>
      <w:r>
        <w:rPr>
          <w:color w:val="0D6C9F"/>
          <w:sz w:val="34"/>
        </w:rPr>
        <w:t>IT Resilience Command Center</w:t>
      </w:r>
    </w:p>
    <w:p>
      <w:r>
        <w:t>Code-aligned architecture, scoring model, API, PostgreSQL schema, and data-flow reference.</w:t>
      </w:r>
    </w:p>
    <w:tbl>
      <w:tblPr>
        <w:tblW w:type="auto" w:w="0"/>
        <w:jc w:val="center"/>
        <w:tblLayout w:type="fixed"/>
        <w:tblLook w:firstColumn="1" w:firstRow="1" w:lastColumn="0" w:lastRow="0" w:noHBand="0" w:noVBand="1" w:val="04A0"/>
      </w:tblPr>
      <w:tblGrid>
        <w:gridCol w:w="2160"/>
        <w:gridCol w:w="7920"/>
      </w:tblGrid>
      <w:tr>
        <w:trPr>
          <w:tblHeader w:val="true"/>
          <w:cantSplit/>
        </w:trPr>
        <w:tc>
          <w:tcPr>
            <w:tcW w:type="dxa" w:w="5184"/>
            <w:shd w:fill="073B63"/>
            <w:vAlign w:val="center"/>
          </w:tcPr>
          <w:p>
            <w:pPr>
              <w:spacing w:after="0"/>
            </w:pPr>
            <w:r>
              <w:rPr>
                <w:rFonts w:ascii="Arial" w:hAnsi="Arial"/>
                <w:b/>
                <w:color w:val="FFFFFF"/>
                <w:sz w:val="18"/>
              </w:rPr>
              <w:t>Document</w:t>
            </w:r>
          </w:p>
        </w:tc>
        <w:tc>
          <w:tcPr>
            <w:tcW w:type="dxa" w:w="5184"/>
            <w:shd w:fill="073B63"/>
            <w:vAlign w:val="center"/>
          </w:tcPr>
          <w:p>
            <w:pPr>
              <w:spacing w:after="0"/>
            </w:pPr>
            <w:r>
              <w:rPr>
                <w:rFonts w:ascii="Arial" w:hAnsi="Arial"/>
                <w:b/>
                <w:color w:val="FFFFFF"/>
                <w:sz w:val="18"/>
              </w:rPr>
              <w:t>Value</w:t>
            </w:r>
          </w:p>
        </w:tc>
      </w:tr>
      <w:tr>
        <w:trPr>
          <w:cantSplit/>
        </w:trPr>
        <w:tc>
          <w:tcPr>
            <w:tcW w:type="dxa" w:w="216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8"/>
              </w:rPr>
              <w:t>Version</w:t>
            </w:r>
          </w:p>
        </w:tc>
        <w:tc>
          <w:tcPr>
            <w:tcW w:type="dxa" w:w="792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8"/>
              </w:rPr>
              <w:t>1.0</w:t>
            </w:r>
          </w:p>
        </w:tc>
      </w:tr>
      <w:tr>
        <w:trPr>
          <w:cantSplit/>
        </w:trPr>
        <w:tc>
          <w:tcPr>
            <w:tcW w:type="dxa" w:w="216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8"/>
              </w:rPr>
              <w:t>Prepared</w:t>
            </w:r>
          </w:p>
        </w:tc>
        <w:tc>
          <w:tcPr>
            <w:tcW w:type="dxa" w:w="792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8"/>
              </w:rPr>
              <w:t>22 October 2026</w:t>
            </w:r>
          </w:p>
        </w:tc>
      </w:tr>
      <w:tr>
        <w:trPr>
          <w:cantSplit/>
        </w:trPr>
        <w:tc>
          <w:tcPr>
            <w:tcW w:type="dxa" w:w="216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8"/>
              </w:rPr>
              <w:t>State</w:t>
            </w:r>
          </w:p>
        </w:tc>
        <w:tc>
          <w:tcPr>
            <w:tcW w:type="dxa" w:w="792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8"/>
              </w:rPr>
              <w:t>Local development; backend implemented; frontend integration pending</w:t>
            </w:r>
          </w:p>
        </w:tc>
      </w:tr>
      <w:tr>
        <w:trPr>
          <w:cantSplit/>
        </w:trPr>
        <w:tc>
          <w:tcPr>
            <w:tcW w:type="dxa" w:w="216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8"/>
              </w:rPr>
              <w:t>Audience</w:t>
            </w:r>
          </w:p>
        </w:tc>
        <w:tc>
          <w:tcPr>
            <w:tcW w:type="dxa" w:w="792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8"/>
              </w:rPr>
              <w:t>Product owner and engineering team</w:t>
            </w:r>
          </w:p>
        </w:tc>
      </w:tr>
    </w:tbl>
    <w:p>
      <w:pPr>
        <w:spacing w:after="0"/>
      </w:pPr>
    </w:p>
    <w:tbl>
      <w:tblPr>
        <w:tblW w:type="auto" w:w="0"/>
        <w:tblLook w:firstColumn="1" w:firstRow="1" w:lastColumn="0" w:lastRow="0" w:noHBand="0" w:noVBand="1" w:val="04A0"/>
      </w:tblPr>
      <w:tblGrid>
        <w:gridCol w:w="10368"/>
      </w:tblGrid>
      <w:tr>
        <w:trPr>
          <w:tblHeader w:val="true"/>
          <w:cantSplit/>
        </w:trPr>
        <w:tc>
          <w:tcPr>
            <w:tcW w:type="dxa" w:w="10368"/>
            <w:shd w:fill="EAF9FC"/>
            <w:tcBorders>
              <w:top w:val="single" w:sz="6" w:color="B9DDE7"/>
              <w:left w:val="single" w:sz="6" w:color="B9DDE7"/>
              <w:bottom w:val="single" w:sz="6" w:color="B9DDE7"/>
              <w:right w:val="single" w:sz="6" w:color="B9DDE7"/>
            </w:tcBorders>
          </w:tcPr>
          <w:p>
            <w:r>
              <w:rPr>
                <w:b/>
                <w:color w:val="073B63"/>
              </w:rPr>
              <w:t>Design summary</w:t>
            </w:r>
          </w:p>
          <w:p>
            <w:r>
              <w:t>Next.js App Router and API handlers use a domain layer, Prisma 7, and PostgreSQL. Manual scores belong to a subparameter and assessment period. Complete periods produce an official weighted ITRI; incomplete periods store a provisional estimate and coverage.</w:t>
            </w:r>
          </w:p>
        </w:tc>
      </w:tr>
    </w:tbl>
    <w:p/>
    <w:p>
      <w:r>
        <w:br w:type="page"/>
      </w:r>
    </w:p>
    <w:p>
      <w:pPr>
        <w:pStyle w:val="Heading1"/>
      </w:pPr>
      <w:r>
        <w:t>1. Purpose and scope</w:t>
      </w:r>
    </w:p>
    <w:p>
      <w:r>
        <w:t>This document describes the application as implemented and the responsibilities of its main components. It guides frontend integration and later deployment planning.</w:t>
      </w:r>
    </w:p>
    <w:p>
      <w:pPr>
        <w:pStyle w:val="Heading2"/>
      </w:pPr>
      <w:r>
        <w:t>Product decisions</w:t>
      </w:r>
    </w:p>
    <w:tbl>
      <w:tblPr>
        <w:tblW w:type="auto" w:w="0"/>
        <w:jc w:val="center"/>
        <w:tblLayout w:type="fixed"/>
        <w:tblLook w:firstColumn="1" w:firstRow="1" w:lastColumn="0" w:lastRow="0" w:noHBand="0" w:noVBand="1" w:val="04A0"/>
      </w:tblPr>
      <w:tblGrid>
        <w:gridCol w:w="3024"/>
        <w:gridCol w:w="7056"/>
      </w:tblGrid>
      <w:tr>
        <w:trPr>
          <w:tblHeader w:val="true"/>
          <w:cantSplit/>
        </w:trPr>
        <w:tc>
          <w:tcPr>
            <w:tcW w:type="dxa" w:w="5184"/>
            <w:shd w:fill="073B63"/>
            <w:vAlign w:val="center"/>
          </w:tcPr>
          <w:p>
            <w:pPr>
              <w:spacing w:after="0"/>
            </w:pPr>
            <w:r>
              <w:rPr>
                <w:rFonts w:ascii="Arial" w:hAnsi="Arial"/>
                <w:b/>
                <w:color w:val="FFFFFF"/>
                <w:sz w:val="17"/>
              </w:rPr>
              <w:t>Decision</w:t>
            </w:r>
          </w:p>
        </w:tc>
        <w:tc>
          <w:tcPr>
            <w:tcW w:type="dxa" w:w="5184"/>
            <w:shd w:fill="073B63"/>
            <w:vAlign w:val="center"/>
          </w:tcPr>
          <w:p>
            <w:pPr>
              <w:spacing w:after="0"/>
            </w:pPr>
            <w:r>
              <w:rPr>
                <w:rFonts w:ascii="Arial" w:hAnsi="Arial"/>
                <w:b/>
                <w:color w:val="FFFFFF"/>
                <w:sz w:val="17"/>
              </w:rPr>
              <w:t>Consequence</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Single organization first</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No tenant/organization table.</w:t>
            </w:r>
          </w:p>
        </w:tc>
      </w:tr>
      <w:tr>
        <w:trPr>
          <w:cantSplit/>
        </w:trPr>
        <w:tc>
          <w:tcPr>
            <w:tcW w:type="dxa" w:w="302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Manual inputs first</w:t>
            </w:r>
          </w:p>
        </w:tc>
        <w:tc>
          <w:tcPr>
            <w:tcW w:type="dxa" w:w="705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AssessmentInput source is MANUAL.</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Hosting later</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Local Docker/PostgreSQL is current.</w:t>
            </w:r>
          </w:p>
        </w:tc>
      </w:tr>
      <w:tr>
        <w:trPr>
          <w:cantSplit/>
        </w:trPr>
        <w:tc>
          <w:tcPr>
            <w:tcW w:type="dxa" w:w="302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Missing data stays provisional</w:t>
            </w:r>
          </w:p>
        </w:tc>
        <w:tc>
          <w:tcPr>
            <w:tcW w:type="dxa" w:w="705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Official score null until full input coverage.</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Both weight levels total 100%</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Validation checks parent and child totals.</w:t>
            </w:r>
          </w:p>
        </w:tc>
      </w:tr>
    </w:tbl>
    <w:p>
      <w:pPr>
        <w:spacing w:after="0"/>
      </w:pPr>
    </w:p>
    <w:p>
      <w:pPr>
        <w:pStyle w:val="Heading2"/>
      </w:pPr>
      <w:r>
        <w:t>Screens and current boundary</w:t>
      </w:r>
    </w:p>
    <w:p>
      <w:pPr>
        <w:pStyle w:val="ListBullet"/>
      </w:pPr>
      <w:r>
        <w:t>Dashboard shows KPI, parameter landscape, trends, change contributors, and remediation actions; it still reads fixtures.</w:t>
      </w:r>
    </w:p>
    <w:p>
      <w:pPr>
        <w:pStyle w:val="ListBullet"/>
      </w:pPr>
      <w:r>
        <w:t>Configure edits the model in browser localStorage; its UI is not wired to configuration APIs.</w:t>
      </w:r>
    </w:p>
    <w:p>
      <w:pPr>
        <w:pStyle w:val="ListBullet"/>
      </w:pPr>
      <w:r>
        <w:t>History and change history show generated fixtures; report UI produces a sample client-side CSV.</w:t>
      </w:r>
    </w:p>
    <w:p>
      <w:pPr>
        <w:pStyle w:val="ListBullet"/>
      </w:pPr>
      <w:r>
        <w:t>The backend API/database are implemented independently. Navbar download has no action yet.</w:t>
      </w:r>
    </w:p>
    <w:tbl>
      <w:tblPr>
        <w:tblW w:type="auto" w:w="0"/>
        <w:tblLook w:firstColumn="1" w:firstRow="1" w:lastColumn="0" w:lastRow="0" w:noHBand="0" w:noVBand="1" w:val="04A0"/>
      </w:tblPr>
      <w:tblGrid>
        <w:gridCol w:w="10368"/>
      </w:tblGrid>
      <w:tr>
        <w:trPr>
          <w:tblHeader w:val="true"/>
          <w:cantSplit/>
        </w:trPr>
        <w:tc>
          <w:tcPr>
            <w:tcW w:type="dxa" w:w="10368"/>
            <w:shd w:fill="FFF1CF"/>
            <w:tcBorders>
              <w:top w:val="single" w:sz="6" w:color="B9DDE7"/>
              <w:left w:val="single" w:sz="6" w:color="B9DDE7"/>
              <w:bottom w:val="single" w:sz="6" w:color="B9DDE7"/>
              <w:right w:val="single" w:sz="6" w:color="B9DDE7"/>
            </w:tcBorders>
          </w:tcPr>
          <w:p>
            <w:r>
              <w:rPr>
                <w:b/>
                <w:color w:val="073B63"/>
              </w:rPr>
              <w:t>Implementation boundary</w:t>
            </w:r>
          </w:p>
          <w:p>
            <w:r>
              <w:t>The design distinguishes current backend behavior from the pending screen integration. UI data may not match API/database state until the fixtures/localStorage path is replaced.</w:t>
            </w:r>
          </w:p>
        </w:tc>
      </w:tr>
    </w:tbl>
    <w:p/>
    <w:p>
      <w:pPr>
        <w:pStyle w:val="Heading2"/>
      </w:pPr>
      <w:r>
        <w:t>Terms</w:t>
      </w:r>
    </w:p>
    <w:tbl>
      <w:tblPr>
        <w:tblW w:type="auto" w:w="0"/>
        <w:jc w:val="center"/>
        <w:tblLayout w:type="fixed"/>
        <w:tblLook w:firstColumn="1" w:firstRow="1" w:lastColumn="0" w:lastRow="0" w:noHBand="0" w:noVBand="1" w:val="04A0"/>
      </w:tblPr>
      <w:tblGrid>
        <w:gridCol w:w="2592"/>
        <w:gridCol w:w="7488"/>
      </w:tblGrid>
      <w:tr>
        <w:trPr>
          <w:tblHeader w:val="true"/>
          <w:cantSplit/>
        </w:trPr>
        <w:tc>
          <w:tcPr>
            <w:tcW w:type="dxa" w:w="5184"/>
            <w:shd w:fill="073B63"/>
            <w:vAlign w:val="center"/>
          </w:tcPr>
          <w:p>
            <w:pPr>
              <w:spacing w:after="0"/>
            </w:pPr>
            <w:r>
              <w:rPr>
                <w:rFonts w:ascii="Arial" w:hAnsi="Arial"/>
                <w:b/>
                <w:color w:val="FFFFFF"/>
                <w:sz w:val="16"/>
              </w:rPr>
              <w:t>Term</w:t>
            </w:r>
          </w:p>
        </w:tc>
        <w:tc>
          <w:tcPr>
            <w:tcW w:type="dxa" w:w="5184"/>
            <w:shd w:fill="073B63"/>
            <w:vAlign w:val="center"/>
          </w:tcPr>
          <w:p>
            <w:pPr>
              <w:spacing w:after="0"/>
            </w:pPr>
            <w:r>
              <w:rPr>
                <w:rFonts w:ascii="Arial" w:hAnsi="Arial"/>
                <w:b/>
                <w:color w:val="FFFFFF"/>
                <w:sz w:val="16"/>
              </w:rPr>
              <w:t>Definition</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Model version</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Versioned parameter tree, weights, source labels, and thresholds.</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Assessment period</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Window such as 2026-H1 with explicit dates.</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Assessment input</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Manual 0–100 score for one subparameter in one period.</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Snapshot</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Stored calculation for one period and model version.</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Provisional estimate</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Partial-coverage estimate distinct from official score.</w:t>
            </w:r>
          </w:p>
        </w:tc>
      </w:tr>
    </w:tbl>
    <w:p>
      <w:pPr>
        <w:spacing w:after="0"/>
      </w:pPr>
    </w:p>
    <w:p>
      <w:pPr>
        <w:pStyle w:val="Heading1"/>
      </w:pPr>
      <w:r>
        <w:t>2. System architecture</w:t>
      </w:r>
    </w:p>
    <w:p>
      <w:r>
        <w:t>Next.js App Router hosts UI pages and versioned API handlers. Routes validate payloads with Zod, call domain utilities, and persist through Prisma 7 using the PostgreSQL adapter. Docker Compose runs PostgreSQL locally; host port 5433 maps to container port 5432 because local port 5432 was occupied.</w:t>
      </w:r>
    </w:p>
    <w:p>
      <w:pPr>
        <w:pStyle w:val="Heading2"/>
      </w:pPr>
      <w:r>
        <w:t>Architecture diagram</w:t>
      </w:r>
    </w:p>
    <w:tbl>
      <w:tblPr>
        <w:tblW w:type="auto" w:w="0"/>
        <w:jc w:val="center"/>
        <w:tblLayout w:type="fixed"/>
        <w:tblLook w:firstColumn="1" w:firstRow="1" w:lastColumn="0" w:lastRow="0" w:noHBand="0" w:noVBand="1" w:val="04A0"/>
      </w:tblPr>
      <w:tblGrid>
        <w:gridCol w:w="2952"/>
        <w:gridCol w:w="7128"/>
      </w:tblGrid>
      <w:tr>
        <w:trPr>
          <w:tblHeader w:val="true"/>
          <w:cantSplit/>
        </w:trPr>
        <w:tc>
          <w:tcPr>
            <w:tcW w:type="dxa" w:w="5184"/>
            <w:shd w:fill="073B63"/>
            <w:vAlign w:val="center"/>
          </w:tcPr>
          <w:p>
            <w:pPr>
              <w:spacing w:after="0"/>
            </w:pPr>
            <w:r>
              <w:rPr>
                <w:rFonts w:ascii="Arial" w:hAnsi="Arial"/>
                <w:b/>
                <w:color w:val="FFFFFF"/>
                <w:sz w:val="17"/>
              </w:rPr>
              <w:t>Step / component</w:t>
            </w:r>
          </w:p>
        </w:tc>
        <w:tc>
          <w:tcPr>
            <w:tcW w:type="dxa" w:w="5184"/>
            <w:shd w:fill="073B63"/>
            <w:vAlign w:val="center"/>
          </w:tcPr>
          <w:p>
            <w:pPr>
              <w:spacing w:after="0"/>
            </w:pPr>
            <w:r>
              <w:rPr>
                <w:rFonts w:ascii="Arial" w:hAnsi="Arial"/>
                <w:b/>
                <w:color w:val="FFFFFF"/>
                <w:sz w:val="17"/>
              </w:rPr>
              <w:t>Flow or responsibility</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Browser UI</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Dashboard / Configure / History; today uses fixture arrays and localStorage.</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Next.js App Router</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Pages, feature components, API route handlers under /api/v1.</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Domain services</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Assessment weighted calculation; configuration draft/publish; validation and errors.</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Prisma data access</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Prisma client and pg adapter; transactions for draft/input/calculation writes.</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PostgreSQL</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One organization; Docker local service; named persistent volume.</w:t>
            </w:r>
          </w:p>
        </w:tc>
      </w:tr>
    </w:tbl>
    <w:p>
      <w:pPr>
        <w:spacing w:after="0"/>
      </w:pPr>
    </w:p>
    <w:p>
      <w:pPr>
        <w:pStyle w:val="SmallNote"/>
      </w:pPr>
      <w:r>
        <w:t>Diagram 1. Request direction is browser → Next.js route → domain/Prisma → PostgreSQL. UI-to-API arrows are planned connections, not current data sourcing.</w:t>
      </w:r>
    </w:p>
    <w:tbl>
      <w:tblPr>
        <w:tblW w:type="auto" w:w="0"/>
        <w:jc w:val="center"/>
        <w:tblLayout w:type="fixed"/>
        <w:tblLook w:firstColumn="1" w:firstRow="1" w:lastColumn="0" w:lastRow="0" w:noHBand="0" w:noVBand="1" w:val="04A0"/>
      </w:tblPr>
      <w:tblGrid>
        <w:gridCol w:w="1944"/>
        <w:gridCol w:w="8136"/>
      </w:tblGrid>
      <w:tr>
        <w:trPr>
          <w:tblHeader w:val="true"/>
          <w:cantSplit/>
        </w:trPr>
        <w:tc>
          <w:tcPr>
            <w:tcW w:type="dxa" w:w="5184"/>
            <w:shd w:fill="073B63"/>
            <w:vAlign w:val="center"/>
          </w:tcPr>
          <w:p>
            <w:pPr>
              <w:spacing w:after="0"/>
            </w:pPr>
            <w:r>
              <w:rPr>
                <w:rFonts w:ascii="Arial" w:hAnsi="Arial"/>
                <w:b/>
                <w:color w:val="FFFFFF"/>
                <w:sz w:val="16"/>
              </w:rPr>
              <w:t>Layer</w:t>
            </w:r>
          </w:p>
        </w:tc>
        <w:tc>
          <w:tcPr>
            <w:tcW w:type="dxa" w:w="5184"/>
            <w:shd w:fill="073B63"/>
            <w:vAlign w:val="center"/>
          </w:tcPr>
          <w:p>
            <w:pPr>
              <w:spacing w:after="0"/>
            </w:pPr>
            <w:r>
              <w:rPr>
                <w:rFonts w:ascii="Arial" w:hAnsi="Arial"/>
                <w:b/>
                <w:color w:val="FFFFFF"/>
                <w:sz w:val="16"/>
              </w:rPr>
              <w:t>Implementation</w:t>
            </w:r>
          </w:p>
        </w:tc>
      </w:tr>
      <w:tr>
        <w:trPr>
          <w:cantSplit/>
        </w:trPr>
        <w:tc>
          <w:tcPr>
            <w:tcW w:type="dxa" w:w="19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Frontend</w:t>
            </w:r>
          </w:p>
        </w:tc>
        <w:tc>
          <w:tcPr>
            <w:tcW w:type="dxa" w:w="81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Next.js 16, React 19, Tailwind CSS 4.</w:t>
            </w:r>
          </w:p>
        </w:tc>
      </w:tr>
      <w:tr>
        <w:trPr>
          <w:cantSplit/>
        </w:trPr>
        <w:tc>
          <w:tcPr>
            <w:tcW w:type="dxa" w:w="19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API</w:t>
            </w:r>
          </w:p>
        </w:tc>
        <w:tc>
          <w:tcPr>
            <w:tcW w:type="dxa" w:w="81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Next.js route handlers; JSON envelopes and CSV download.</w:t>
            </w:r>
          </w:p>
        </w:tc>
      </w:tr>
      <w:tr>
        <w:trPr>
          <w:cantSplit/>
        </w:trPr>
        <w:tc>
          <w:tcPr>
            <w:tcW w:type="dxa" w:w="19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Validation</w:t>
            </w:r>
          </w:p>
        </w:tc>
        <w:tc>
          <w:tcPr>
            <w:tcW w:type="dxa" w:w="81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Zod schemas for scores, weights, periods, remediations.</w:t>
            </w:r>
          </w:p>
        </w:tc>
      </w:tr>
      <w:tr>
        <w:trPr>
          <w:cantSplit/>
        </w:trPr>
        <w:tc>
          <w:tcPr>
            <w:tcW w:type="dxa" w:w="19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Persistence</w:t>
            </w:r>
          </w:p>
        </w:tc>
        <w:tc>
          <w:tcPr>
            <w:tcW w:type="dxa" w:w="81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Prisma 7, @prisma/adapter-pg, pg.</w:t>
            </w:r>
          </w:p>
        </w:tc>
      </w:tr>
      <w:tr>
        <w:trPr>
          <w:cantSplit/>
        </w:trPr>
        <w:tc>
          <w:tcPr>
            <w:tcW w:type="dxa" w:w="19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Database</w:t>
            </w:r>
          </w:p>
        </w:tc>
        <w:tc>
          <w:tcPr>
            <w:tcW w:type="dxa" w:w="81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PostgreSQL 18 Alpine in Compose; port 5433 local.</w:t>
            </w:r>
          </w:p>
        </w:tc>
      </w:tr>
    </w:tbl>
    <w:p>
      <w:pPr>
        <w:spacing w:after="0"/>
      </w:pPr>
    </w:p>
    <w:p>
      <w:pPr>
        <w:pStyle w:val="Heading2"/>
      </w:pPr>
      <w:r>
        <w:t>Repository layout</w:t>
      </w:r>
    </w:p>
    <w:tbl>
      <w:tblPr>
        <w:tblW w:type="auto" w:w="0"/>
        <w:jc w:val="center"/>
        <w:tblLayout w:type="fixed"/>
        <w:tblLook w:firstColumn="1" w:firstRow="1" w:lastColumn="0" w:lastRow="0" w:noHBand="0" w:noVBand="1" w:val="04A0"/>
      </w:tblPr>
      <w:tblGrid>
        <w:gridCol w:w="3168"/>
        <w:gridCol w:w="6912"/>
      </w:tblGrid>
      <w:tr>
        <w:trPr>
          <w:tblHeader w:val="true"/>
          <w:cantSplit/>
        </w:trPr>
        <w:tc>
          <w:tcPr>
            <w:tcW w:type="dxa" w:w="5184"/>
            <w:shd w:fill="073B63"/>
            <w:vAlign w:val="center"/>
          </w:tcPr>
          <w:p>
            <w:pPr>
              <w:spacing w:after="0"/>
            </w:pPr>
            <w:r>
              <w:rPr>
                <w:rFonts w:ascii="Arial" w:hAnsi="Arial"/>
                <w:b/>
                <w:color w:val="FFFFFF"/>
                <w:sz w:val="16"/>
              </w:rPr>
              <w:t>Path</w:t>
            </w:r>
          </w:p>
        </w:tc>
        <w:tc>
          <w:tcPr>
            <w:tcW w:type="dxa" w:w="5184"/>
            <w:shd w:fill="073B63"/>
            <w:vAlign w:val="center"/>
          </w:tcPr>
          <w:p>
            <w:pPr>
              <w:spacing w:after="0"/>
            </w:pPr>
            <w:r>
              <w:rPr>
                <w:rFonts w:ascii="Arial" w:hAnsi="Arial"/>
                <w:b/>
                <w:color w:val="FFFFFF"/>
                <w:sz w:val="16"/>
              </w:rPr>
              <w:t>Role</w:t>
            </w:r>
          </w:p>
        </w:tc>
      </w:tr>
      <w:tr>
        <w:trPr>
          <w:cantSplit/>
        </w:trPr>
        <w:tc>
          <w:tcPr>
            <w:tcW w:type="dxa" w:w="31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src/app</w:t>
            </w:r>
          </w:p>
        </w:tc>
        <w:tc>
          <w:tcPr>
            <w:tcW w:type="dxa" w:w="69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Pages, layout/styles, API handlers.</w:t>
            </w:r>
          </w:p>
        </w:tc>
      </w:tr>
      <w:tr>
        <w:trPr>
          <w:cantSplit/>
        </w:trPr>
        <w:tc>
          <w:tcPr>
            <w:tcW w:type="dxa" w:w="31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src/features/dashboard</w:t>
            </w:r>
          </w:p>
        </w:tc>
        <w:tc>
          <w:tcPr>
            <w:tcW w:type="dxa" w:w="69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Widgets, types, dashboard fixtures.</w:t>
            </w:r>
          </w:p>
        </w:tc>
      </w:tr>
      <w:tr>
        <w:trPr>
          <w:cantSplit/>
        </w:trPr>
        <w:tc>
          <w:tcPr>
            <w:tcW w:type="dxa" w:w="31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src/features/configure</w:t>
            </w:r>
          </w:p>
        </w:tc>
        <w:tc>
          <w:tcPr>
            <w:tcW w:type="dxa" w:w="69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Model editor and change history; localStorage save.</w:t>
            </w:r>
          </w:p>
        </w:tc>
      </w:tr>
      <w:tr>
        <w:trPr>
          <w:cantSplit/>
        </w:trPr>
        <w:tc>
          <w:tcPr>
            <w:tcW w:type="dxa" w:w="31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src/features/history</w:t>
            </w:r>
          </w:p>
        </w:tc>
        <w:tc>
          <w:tcPr>
            <w:tcW w:type="dxa" w:w="69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Download history UI and sample CSV.</w:t>
            </w:r>
          </w:p>
        </w:tc>
      </w:tr>
      <w:tr>
        <w:trPr>
          <w:cantSplit/>
        </w:trPr>
        <w:tc>
          <w:tcPr>
            <w:tcW w:type="dxa" w:w="31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src/lib</w:t>
            </w:r>
          </w:p>
        </w:tc>
        <w:tc>
          <w:tcPr>
            <w:tcW w:type="dxa" w:w="69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Prisma, response helpers, validation, scoring/configuration.</w:t>
            </w:r>
          </w:p>
        </w:tc>
      </w:tr>
      <w:tr>
        <w:trPr>
          <w:cantSplit/>
        </w:trPr>
        <w:tc>
          <w:tcPr>
            <w:tcW w:type="dxa" w:w="31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prisma</w:t>
            </w:r>
          </w:p>
        </w:tc>
        <w:tc>
          <w:tcPr>
            <w:tcW w:type="dxa" w:w="69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Schema, migration, deterministic seed.</w:t>
            </w:r>
          </w:p>
        </w:tc>
      </w:tr>
      <w:tr>
        <w:trPr>
          <w:cantSplit/>
        </w:trPr>
        <w:tc>
          <w:tcPr>
            <w:tcW w:type="dxa" w:w="31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compose.yaml / .env.example</w:t>
            </w:r>
          </w:p>
        </w:tc>
        <w:tc>
          <w:tcPr>
            <w:tcW w:type="dxa" w:w="69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Local DB and example connection.</w:t>
            </w:r>
          </w:p>
        </w:tc>
      </w:tr>
    </w:tbl>
    <w:p>
      <w:pPr>
        <w:spacing w:after="0"/>
      </w:pPr>
    </w:p>
    <w:p>
      <w:pPr>
        <w:pStyle w:val="Heading1"/>
      </w:pPr>
      <w:r>
        <w:t>3. Database and relationships</w:t>
      </w:r>
    </w:p>
    <w:p>
      <w:r>
        <w:t>Model definitions are versioned separately from period inputs and calculated results. ScoreSnapshot retains the ModelVersion used.</w:t>
      </w:r>
    </w:p>
    <w:p>
      <w:pPr>
        <w:pStyle w:val="Heading2"/>
      </w:pPr>
      <w:r>
        <w:t>Entity relationship diagram</w:t>
      </w:r>
    </w:p>
    <w:tbl>
      <w:tblPr>
        <w:tblW w:type="auto" w:w="0"/>
        <w:jc w:val="center"/>
        <w:tblLayout w:type="fixed"/>
        <w:tblLook w:firstColumn="1" w:firstRow="1" w:lastColumn="0" w:lastRow="0" w:noHBand="0" w:noVBand="1" w:val="04A0"/>
      </w:tblPr>
      <w:tblGrid>
        <w:gridCol w:w="3312"/>
        <w:gridCol w:w="3456"/>
        <w:gridCol w:w="3312"/>
      </w:tblGrid>
      <w:tr>
        <w:trPr>
          <w:tblHeader w:val="true"/>
          <w:cantSplit/>
        </w:trPr>
        <w:tc>
          <w:tcPr>
            <w:tcW w:type="dxa" w:w="3456"/>
            <w:shd w:fill="073B63"/>
            <w:vAlign w:val="center"/>
          </w:tcPr>
          <w:p>
            <w:pPr>
              <w:spacing w:after="0"/>
            </w:pPr>
            <w:r>
              <w:rPr>
                <w:rFonts w:ascii="Arial" w:hAnsi="Arial"/>
                <w:b/>
                <w:color w:val="FFFFFF"/>
                <w:sz w:val="15"/>
              </w:rPr>
              <w:t>Configuration entities</w:t>
            </w:r>
          </w:p>
        </w:tc>
        <w:tc>
          <w:tcPr>
            <w:tcW w:type="dxa" w:w="3456"/>
            <w:shd w:fill="073B63"/>
            <w:vAlign w:val="center"/>
          </w:tcPr>
          <w:p>
            <w:pPr>
              <w:spacing w:after="0"/>
            </w:pPr>
            <w:r>
              <w:rPr>
                <w:rFonts w:ascii="Arial" w:hAnsi="Arial"/>
                <w:b/>
                <w:color w:val="FFFFFF"/>
                <w:sz w:val="15"/>
              </w:rPr>
              <w:t>Assessment entities</w:t>
            </w:r>
          </w:p>
        </w:tc>
        <w:tc>
          <w:tcPr>
            <w:tcW w:type="dxa" w:w="3456"/>
            <w:shd w:fill="073B63"/>
            <w:vAlign w:val="center"/>
          </w:tcPr>
          <w:p>
            <w:pPr>
              <w:spacing w:after="0"/>
            </w:pPr>
            <w:r>
              <w:rPr>
                <w:rFonts w:ascii="Arial" w:hAnsi="Arial"/>
                <w:b/>
                <w:color w:val="FFFFFF"/>
                <w:sz w:val="15"/>
              </w:rPr>
              <w:t>Action and audit entities</w:t>
            </w:r>
          </w:p>
        </w:tc>
      </w:tr>
      <w:tr>
        <w:trPr>
          <w:cantSplit/>
        </w:trPr>
        <w:tc>
          <w:tcPr>
            <w:tcW w:type="dxa" w:w="3312"/>
            <w:vAlign w:val="center"/>
            <w:tcBorders>
              <w:top w:val="single" w:sz="6" w:color="B9DDE7"/>
              <w:left w:val="single" w:sz="6" w:color="B9DDE7"/>
              <w:bottom w:val="single" w:sz="6" w:color="B9DDE7"/>
              <w:right w:val="single" w:sz="6" w:color="B9DDE7"/>
            </w:tcBorders>
          </w:tcPr>
          <w:p>
            <w:r>
              <w:t>ModelVersion</w:t>
              <w:br/>
              <w:t>PK id, version UNIQUE</w:t>
              <w:br/>
              <w:t>status, thresholds</w:t>
            </w:r>
          </w:p>
        </w:tc>
        <w:tc>
          <w:tcPr>
            <w:tcW w:type="dxa" w:w="3456"/>
            <w:vAlign w:val="center"/>
            <w:tcBorders>
              <w:top w:val="single" w:sz="6" w:color="B9DDE7"/>
              <w:left w:val="single" w:sz="6" w:color="B9DDE7"/>
              <w:bottom w:val="single" w:sz="6" w:color="B9DDE7"/>
              <w:right w:val="single" w:sz="6" w:color="B9DDE7"/>
            </w:tcBorders>
          </w:tcPr>
          <w:p>
            <w:r>
              <w:t>AssessmentPeriod</w:t>
              <w:br/>
              <w:t>PK id, code UNIQUE</w:t>
              <w:br/>
              <w:t>dates, status</w:t>
            </w:r>
          </w:p>
        </w:tc>
        <w:tc>
          <w:tcPr>
            <w:tcW w:type="dxa" w:w="3312"/>
            <w:vAlign w:val="center"/>
            <w:tcBorders>
              <w:top w:val="single" w:sz="6" w:color="B9DDE7"/>
              <w:left w:val="single" w:sz="6" w:color="B9DDE7"/>
              <w:bottom w:val="single" w:sz="6" w:color="B9DDE7"/>
              <w:right w:val="single" w:sz="6" w:color="B9DDE7"/>
            </w:tcBorders>
          </w:tcPr>
          <w:p>
            <w:r>
              <w:t>User</w:t>
              <w:br/>
              <w:t>PK id, email UNIQUE</w:t>
              <w:br/>
              <w:t>name, role</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r>
              <w:t>Parameter</w:t>
              <w:br/>
              <w:t>FK modelVersionId</w:t>
              <w:br/>
              <w:t>code, name, weight</w:t>
            </w:r>
          </w:p>
        </w:tc>
        <w:tc>
          <w:tcPr>
            <w:tcW w:type="dxa" w:w="3456"/>
            <w:vAlign w:val="center"/>
            <w:shd w:fill="F5FCFE"/>
            <w:tcBorders>
              <w:top w:val="single" w:sz="6" w:color="B9DDE7"/>
              <w:left w:val="single" w:sz="6" w:color="B9DDE7"/>
              <w:bottom w:val="single" w:sz="6" w:color="B9DDE7"/>
              <w:right w:val="single" w:sz="6" w:color="B9DDE7"/>
            </w:tcBorders>
          </w:tcPr>
          <w:p>
            <w:r>
              <w:t>AssessmentInput</w:t>
              <w:br/>
              <w:t>FK period, subparameter</w:t>
              <w:br/>
              <w:t>score, notes; unique pair</w:t>
            </w:r>
          </w:p>
        </w:tc>
        <w:tc>
          <w:tcPr>
            <w:tcW w:type="dxa" w:w="3312"/>
            <w:vAlign w:val="center"/>
            <w:shd w:fill="F5FCFE"/>
            <w:tcBorders>
              <w:top w:val="single" w:sz="6" w:color="B9DDE7"/>
              <w:left w:val="single" w:sz="6" w:color="B9DDE7"/>
              <w:bottom w:val="single" w:sz="6" w:color="B9DDE7"/>
              <w:right w:val="single" w:sz="6" w:color="B9DDE7"/>
            </w:tcBorders>
          </w:tcPr>
          <w:p>
            <w:r>
              <w:t>Remediation</w:t>
              <w:br/>
              <w:t>FK subparameter</w:t>
              <w:br/>
              <w:t>title, priority, status</w:t>
            </w:r>
          </w:p>
        </w:tc>
      </w:tr>
      <w:tr>
        <w:trPr>
          <w:cantSplit/>
        </w:trPr>
        <w:tc>
          <w:tcPr>
            <w:tcW w:type="dxa" w:w="3312"/>
            <w:vAlign w:val="center"/>
            <w:tcBorders>
              <w:top w:val="single" w:sz="6" w:color="B9DDE7"/>
              <w:left w:val="single" w:sz="6" w:color="B9DDE7"/>
              <w:bottom w:val="single" w:sz="6" w:color="B9DDE7"/>
              <w:right w:val="single" w:sz="6" w:color="B9DDE7"/>
            </w:tcBorders>
          </w:tcPr>
          <w:p>
            <w:r>
              <w:t>Subparameter</w:t>
              <w:br/>
              <w:t>FK parameterId</w:t>
              <w:br/>
              <w:t>code, name, weight</w:t>
            </w:r>
          </w:p>
        </w:tc>
        <w:tc>
          <w:tcPr>
            <w:tcW w:type="dxa" w:w="3456"/>
            <w:vAlign w:val="center"/>
            <w:tcBorders>
              <w:top w:val="single" w:sz="6" w:color="B9DDE7"/>
              <w:left w:val="single" w:sz="6" w:color="B9DDE7"/>
              <w:bottom w:val="single" w:sz="6" w:color="B9DDE7"/>
              <w:right w:val="single" w:sz="6" w:color="B9DDE7"/>
            </w:tcBorders>
          </w:tcPr>
          <w:p>
            <w:r>
              <w:t>ScoreSnapshot</w:t>
              <w:br/>
              <w:t>FK period, model</w:t>
              <w:br/>
              <w:t>official score, estimate</w:t>
            </w:r>
          </w:p>
        </w:tc>
        <w:tc>
          <w:tcPr>
            <w:tcW w:type="dxa" w:w="3312"/>
            <w:vAlign w:val="center"/>
            <w:tcBorders>
              <w:top w:val="single" w:sz="6" w:color="B9DDE7"/>
              <w:left w:val="single" w:sz="6" w:color="B9DDE7"/>
              <w:bottom w:val="single" w:sz="6" w:color="B9DDE7"/>
              <w:right w:val="single" w:sz="6" w:color="B9DDE7"/>
            </w:tcBorders>
          </w:tcPr>
          <w:p>
            <w:r>
              <w:t>AuditEvent</w:t>
              <w:br/>
              <w:t>FK user nullable</w:t>
              <w:br/>
              <w:t>action, entity, JSON</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r>
          </w:p>
        </w:tc>
        <w:tc>
          <w:tcPr>
            <w:tcW w:type="dxa" w:w="3456"/>
            <w:vAlign w:val="center"/>
            <w:shd w:fill="F5FCFE"/>
            <w:tcBorders>
              <w:top w:val="single" w:sz="6" w:color="B9DDE7"/>
              <w:left w:val="single" w:sz="6" w:color="B9DDE7"/>
              <w:bottom w:val="single" w:sz="6" w:color="B9DDE7"/>
              <w:right w:val="single" w:sz="6" w:color="B9DDE7"/>
            </w:tcBorders>
          </w:tcPr>
          <w:p>
            <w:r>
              <w:t>ParameterResult</w:t>
              <w:br/>
              <w:t>FK snapshot + parameter</w:t>
            </w:r>
          </w:p>
        </w:tc>
        <w:tc>
          <w:tcPr>
            <w:tcW w:type="dxa" w:w="3312"/>
            <w:vAlign w:val="center"/>
            <w:shd w:fill="F5FCFE"/>
            <w:tcBorders>
              <w:top w:val="single" w:sz="6" w:color="B9DDE7"/>
              <w:left w:val="single" w:sz="6" w:color="B9DDE7"/>
              <w:bottom w:val="single" w:sz="6" w:color="B9DDE7"/>
              <w:right w:val="single" w:sz="6" w:color="B9DDE7"/>
            </w:tcBorders>
          </w:tcPr>
          <w:p>
            <w:r>
              <w:t>ReportDownload</w:t>
              <w:br/>
              <w:t>FK user/period nullable</w:t>
              <w:br/>
              <w:t>type, filename, time</w:t>
            </w:r>
          </w:p>
        </w:tc>
      </w:tr>
      <w:tr>
        <w:trPr>
          <w:cantSplit/>
        </w:trPr>
        <w:tc>
          <w:tcPr>
            <w:tcW w:type="dxa" w:w="33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r>
          </w:p>
        </w:tc>
        <w:tc>
          <w:tcPr>
            <w:tcW w:type="dxa" w:w="3456"/>
            <w:vAlign w:val="center"/>
            <w:tcBorders>
              <w:top w:val="single" w:sz="6" w:color="B9DDE7"/>
              <w:left w:val="single" w:sz="6" w:color="B9DDE7"/>
              <w:bottom w:val="single" w:sz="6" w:color="B9DDE7"/>
              <w:right w:val="single" w:sz="6" w:color="B9DDE7"/>
            </w:tcBorders>
          </w:tcPr>
          <w:p>
            <w:r>
              <w:t>SubparameterResult</w:t>
              <w:br/>
              <w:t>FK result + subparameter</w:t>
              <w:br/>
              <w:t>nullable score</w:t>
            </w:r>
          </w:p>
        </w:tc>
        <w:tc>
          <w:tcPr>
            <w:tcW w:type="dxa" w:w="3312"/>
            <w:vAlign w:val="center"/>
            <w:tcBorders>
              <w:top w:val="single" w:sz="6" w:color="B9DDE7"/>
              <w:left w:val="single" w:sz="6" w:color="B9DDE7"/>
              <w:bottom w:val="single" w:sz="6" w:color="B9DDE7"/>
              <w:right w:val="single" w:sz="6" w:color="B9DDE7"/>
            </w:tcBorders>
          </w:tcPr>
          <w:p>
            <w:r>
              <w:t>No report file blob</w:t>
              <w:br/>
              <w:t>CSV generated at download</w:t>
            </w:r>
          </w:p>
        </w:tc>
      </w:tr>
    </w:tbl>
    <w:p>
      <w:pPr>
        <w:spacing w:after="0"/>
      </w:pPr>
    </w:p>
    <w:p>
      <w:pPr>
        <w:pStyle w:val="SmallNote"/>
      </w:pPr>
      <w:r>
        <w:t>Relationship key (1:N unless marked optional): ModelVersion → Parameter → Subparameter; Subparameter → Remediation, AssessmentInput, and SubparameterResult; AssessmentPeriod → AssessmentInput and ScoreSnapshot; ModelVersion → ScoreSnapshot; ScoreSnapshot → ParameterResult → SubparameterResult; Parameter → ParameterResult; User → optional input/audit/download actor; AssessmentPeriod → optional report history.</w:t>
      </w:r>
    </w:p>
    <w:tbl>
      <w:tblPr>
        <w:tblW w:type="auto" w:w="0"/>
        <w:jc w:val="center"/>
        <w:tblLayout w:type="fixed"/>
        <w:tblLook w:firstColumn="1" w:firstRow="1" w:lastColumn="0" w:lastRow="0" w:noHBand="0" w:noVBand="1" w:val="04A0"/>
      </w:tblPr>
      <w:tblGrid>
        <w:gridCol w:w="2592"/>
        <w:gridCol w:w="7488"/>
      </w:tblGrid>
      <w:tr>
        <w:trPr>
          <w:tblHeader w:val="true"/>
          <w:cantSplit/>
        </w:trPr>
        <w:tc>
          <w:tcPr>
            <w:tcW w:type="dxa" w:w="5184"/>
            <w:shd w:fill="073B63"/>
            <w:vAlign w:val="center"/>
          </w:tcPr>
          <w:p>
            <w:pPr>
              <w:spacing w:after="0"/>
            </w:pPr>
            <w:r>
              <w:rPr>
                <w:rFonts w:ascii="Arial" w:hAnsi="Arial"/>
                <w:b/>
                <w:color w:val="FFFFFF"/>
                <w:sz w:val="15"/>
              </w:rPr>
              <w:t>Entity</w:t>
            </w:r>
          </w:p>
        </w:tc>
        <w:tc>
          <w:tcPr>
            <w:tcW w:type="dxa" w:w="5184"/>
            <w:shd w:fill="073B63"/>
            <w:vAlign w:val="center"/>
          </w:tcPr>
          <w:p>
            <w:pPr>
              <w:spacing w:after="0"/>
            </w:pPr>
            <w:r>
              <w:rPr>
                <w:rFonts w:ascii="Arial" w:hAnsi="Arial"/>
                <w:b/>
                <w:color w:val="FFFFFF"/>
                <w:sz w:val="15"/>
              </w:rPr>
              <w:t>Purpose and important constraints</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User</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Unique email and ADMIN/EDITOR/VIEWER role; login is not implemented.</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ModelVersion</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DRAFT/PUBLISHED, unique integer version, Good/Okay thresholds.</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Parameter / Subparameter</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Ordered weighted tree; code/name unique within parent.</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AssessmentInput</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One score per period/subparameter; optional actor and notes.</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ScoreSnapshot</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One period/model result; nullable score and stored coverage.</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Results</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Parameter and child values; nullable where missing.</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Remediation</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Subparameter action with priority/status/dueAt.</w:t>
            </w:r>
          </w:p>
        </w:tc>
      </w:tr>
      <w:tr>
        <w:trPr>
          <w:cantSplit/>
        </w:trPr>
        <w:tc>
          <w:tcPr>
            <w:tcW w:type="dxa" w:w="259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AuditEvent</w:t>
            </w:r>
          </w:p>
        </w:tc>
        <w:tc>
          <w:tcPr>
            <w:tcW w:type="dxa" w:w="74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Action/entity/summary/JSON details and optional actor.</w:t>
            </w:r>
          </w:p>
        </w:tc>
      </w:tr>
      <w:tr>
        <w:trPr>
          <w:cantSplit/>
        </w:trPr>
        <w:tc>
          <w:tcPr>
            <w:tcW w:type="dxa" w:w="259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ReportDownload</w:t>
            </w:r>
          </w:p>
        </w:tc>
        <w:tc>
          <w:tcPr>
            <w:tcW w:type="dxa" w:w="74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Report metadata and timestamp only; no stored bytes.</w:t>
            </w:r>
          </w:p>
        </w:tc>
      </w:tr>
    </w:tbl>
    <w:p>
      <w:pPr>
        <w:spacing w:after="0"/>
      </w:pPr>
    </w:p>
    <w:p>
      <w:pPr>
        <w:pStyle w:val="Heading2"/>
      </w:pPr>
      <w:r>
        <w:t>Integrity and indexes</w:t>
      </w:r>
    </w:p>
    <w:p>
      <w:r>
        <w:t>Owned parameter trees and input/result rows use configured cascades. Snapshot references restrict model deletion. Optional user references use SET NULL. Composite unique keys prevent duplicate input and result rows. Indexes cover model ordering, period start, snapshot time, remediation status/priority, audit time/entity, and download time.</w:t>
      </w:r>
    </w:p>
    <w:p>
      <w:pPr>
        <w:pStyle w:val="Heading1"/>
      </w:pPr>
      <w:r>
        <w:t>4. Scoring semantics</w:t>
      </w:r>
    </w:p>
    <w:p>
      <w:r>
        <w:t>Scores and weights are decimals; inputs validate within 0–100. Parameter weights sum to 100%, and each parent’s child weights sum to 100%, with 0.01 percentage-point tolerance.</w:t>
      </w:r>
    </w:p>
    <w:p>
      <w:pPr>
        <w:pStyle w:val="Heading2"/>
      </w:pPr>
      <w:r>
        <w:t>Equations</w:t>
      </w:r>
    </w:p>
    <w:p>
      <w:pPr>
        <w:pStyle w:val="CodeBlock"/>
      </w:pPr>
      <w:r>
        <w:t>Pp = sum(wi * xi) / sum(wi), over subparameters with input</w:t>
      </w:r>
    </w:p>
    <w:p>
      <w:pPr>
        <w:pStyle w:val="CodeBlock"/>
      </w:pPr>
      <w:r>
        <w:t>Pp = null when no child score is known</w:t>
      </w:r>
    </w:p>
    <w:p>
      <w:pPr>
        <w:pStyle w:val="CodeBlock"/>
      </w:pPr>
      <w:r>
        <w:t>E  = sum(Wp * Pp) / sum(Wp), over parameters with score</w:t>
      </w:r>
    </w:p>
    <w:p>
      <w:pPr>
        <w:pStyle w:val="CodeBlock"/>
      </w:pPr>
      <w:r>
        <w:t>Official ITRI = E only at complete required-input coverage; else null</w:t>
      </w:r>
    </w:p>
    <w:p>
      <w:r>
        <w:t>xi is child score; wi is its within-parameter weight; Wp is parent parameter weight. For partial data, known child and parent weights are renormalized to compute E. The result remains provisional; scoredCount, requiredCount, provisionalEstimate, and isProvisional are stored.</w:t>
      </w:r>
    </w:p>
    <w:p>
      <w:pPr>
        <w:pStyle w:val="Heading2"/>
      </w:pPr>
      <w:r>
        <w:t>Assessment data-flow diagram</w:t>
      </w:r>
    </w:p>
    <w:tbl>
      <w:tblPr>
        <w:tblW w:type="auto" w:w="0"/>
        <w:jc w:val="center"/>
        <w:tblLayout w:type="fixed"/>
        <w:tblLook w:firstColumn="1" w:firstRow="1" w:lastColumn="0" w:lastRow="0" w:noHBand="0" w:noVBand="1" w:val="04A0"/>
      </w:tblPr>
      <w:tblGrid>
        <w:gridCol w:w="2952"/>
        <w:gridCol w:w="7128"/>
      </w:tblGrid>
      <w:tr>
        <w:trPr>
          <w:tblHeader w:val="true"/>
          <w:cantSplit/>
        </w:trPr>
        <w:tc>
          <w:tcPr>
            <w:tcW w:type="dxa" w:w="5184"/>
            <w:shd w:fill="073B63"/>
            <w:vAlign w:val="center"/>
          </w:tcPr>
          <w:p>
            <w:pPr>
              <w:spacing w:after="0"/>
            </w:pPr>
            <w:r>
              <w:rPr>
                <w:rFonts w:ascii="Arial" w:hAnsi="Arial"/>
                <w:b/>
                <w:color w:val="FFFFFF"/>
                <w:sz w:val="17"/>
              </w:rPr>
              <w:t>Step / component</w:t>
            </w:r>
          </w:p>
        </w:tc>
        <w:tc>
          <w:tcPr>
            <w:tcW w:type="dxa" w:w="5184"/>
            <w:shd w:fill="073B63"/>
            <w:vAlign w:val="center"/>
          </w:tcPr>
          <w:p>
            <w:pPr>
              <w:spacing w:after="0"/>
            </w:pPr>
            <w:r>
              <w:rPr>
                <w:rFonts w:ascii="Arial" w:hAnsi="Arial"/>
                <w:b/>
                <w:color w:val="FFFFFF"/>
                <w:sz w:val="17"/>
              </w:rPr>
              <w:t>Flow or responsibility</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1. Capture</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Manual 0–100 scores per subparameter and reporting period.</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2. Validate</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Zod checks range and duplicate IDs; route resolves model codes; transaction upserts input rows and audit event.</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3. Calculate</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Load published model and period inputs; compute parent/index; upsert snapshot/results; update period status.</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4. Read</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Dashboard API returns current/prior snapshots, parameters, history, contributors, and coverage.</w:t>
            </w:r>
          </w:p>
        </w:tc>
      </w:tr>
    </w:tbl>
    <w:p>
      <w:pPr>
        <w:spacing w:after="0"/>
      </w:pPr>
    </w:p>
    <w:p>
      <w:pPr>
        <w:pStyle w:val="SmallNote"/>
      </w:pPr>
      <w:r>
        <w:t>Diagram 2. The dashboard page currently uses fixtures instead of calling the read endpoint.</w:t>
      </w:r>
    </w:p>
    <w:tbl>
      <w:tblPr>
        <w:tblW w:type="auto" w:w="0"/>
        <w:jc w:val="center"/>
        <w:tblLayout w:type="fixed"/>
        <w:tblLook w:firstColumn="1" w:firstRow="1" w:lastColumn="0" w:lastRow="0" w:noHBand="0" w:noVBand="1" w:val="04A0"/>
      </w:tblPr>
      <w:tblGrid>
        <w:gridCol w:w="2016"/>
        <w:gridCol w:w="8064"/>
      </w:tblGrid>
      <w:tr>
        <w:trPr>
          <w:tblHeader w:val="true"/>
          <w:cantSplit/>
        </w:trPr>
        <w:tc>
          <w:tcPr>
            <w:tcW w:type="dxa" w:w="5184"/>
            <w:shd w:fill="073B63"/>
            <w:vAlign w:val="center"/>
          </w:tcPr>
          <w:p>
            <w:pPr>
              <w:spacing w:after="0"/>
            </w:pPr>
            <w:r>
              <w:rPr>
                <w:rFonts w:ascii="Arial" w:hAnsi="Arial"/>
                <w:b/>
                <w:color w:val="FFFFFF"/>
                <w:sz w:val="16"/>
              </w:rPr>
              <w:t>Status</w:t>
            </w:r>
          </w:p>
        </w:tc>
        <w:tc>
          <w:tcPr>
            <w:tcW w:type="dxa" w:w="5184"/>
            <w:shd w:fill="073B63"/>
            <w:vAlign w:val="center"/>
          </w:tcPr>
          <w:p>
            <w:pPr>
              <w:spacing w:after="0"/>
            </w:pPr>
            <w:r>
              <w:rPr>
                <w:rFonts w:ascii="Arial" w:hAnsi="Arial"/>
                <w:b/>
                <w:color w:val="FFFFFF"/>
                <w:sz w:val="16"/>
              </w:rPr>
              <w:t>Rule</w:t>
            </w:r>
          </w:p>
        </w:tc>
      </w:tr>
      <w:tr>
        <w:trPr>
          <w:cantSplit/>
        </w:trPr>
        <w:tc>
          <w:tcPr>
            <w:tcW w:type="dxa" w:w="201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Good</w:t>
            </w:r>
          </w:p>
        </w:tc>
        <w:tc>
          <w:tcPr>
            <w:tcW w:type="dxa" w:w="806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Official score ≥ goodThreshold; seed 75.</w:t>
            </w:r>
          </w:p>
        </w:tc>
      </w:tr>
      <w:tr>
        <w:trPr>
          <w:cantSplit/>
        </w:trPr>
        <w:tc>
          <w:tcPr>
            <w:tcW w:type="dxa" w:w="201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Okay</w:t>
            </w:r>
          </w:p>
        </w:tc>
        <w:tc>
          <w:tcPr>
            <w:tcW w:type="dxa" w:w="806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okayThreshold ≤ score &lt; goodThreshold; seed 50.</w:t>
            </w:r>
          </w:p>
        </w:tc>
      </w:tr>
      <w:tr>
        <w:trPr>
          <w:cantSplit/>
        </w:trPr>
        <w:tc>
          <w:tcPr>
            <w:tcW w:type="dxa" w:w="201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Bad</w:t>
            </w:r>
          </w:p>
        </w:tc>
        <w:tc>
          <w:tcPr>
            <w:tcW w:type="dxa" w:w="806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Official score &lt; okayThreshold.</w:t>
            </w:r>
          </w:p>
        </w:tc>
      </w:tr>
      <w:tr>
        <w:trPr>
          <w:cantSplit/>
        </w:trPr>
        <w:tc>
          <w:tcPr>
            <w:tcW w:type="dxa" w:w="201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Provisional</w:t>
            </w:r>
          </w:p>
        </w:tc>
        <w:tc>
          <w:tcPr>
            <w:tcW w:type="dxa" w:w="806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Incomplete inputs; show estimate and coverage separately.</w:t>
            </w:r>
          </w:p>
        </w:tc>
      </w:tr>
    </w:tbl>
    <w:p>
      <w:pPr>
        <w:spacing w:after="0"/>
      </w:pPr>
    </w:p>
    <w:p>
      <w:pPr>
        <w:pStyle w:val="Heading1"/>
      </w:pPr>
      <w:r>
        <w:t>5. API design</w:t>
      </w:r>
    </w:p>
    <w:p>
      <w:r>
        <w:t>All endpoints are under /api/v1. Most JSON success responses use {data:value}, errors use {error:{message}}. Health is a direct data response. No authentication middleware exists.</w:t>
      </w:r>
    </w:p>
    <w:tbl>
      <w:tblPr>
        <w:tblW w:type="auto" w:w="0"/>
        <w:jc w:val="center"/>
        <w:tblLayout w:type="fixed"/>
        <w:tblLook w:firstColumn="1" w:firstRow="1" w:lastColumn="0" w:lastRow="0" w:noHBand="0" w:noVBand="1" w:val="04A0"/>
      </w:tblPr>
      <w:tblGrid>
        <w:gridCol w:w="4536"/>
        <w:gridCol w:w="5544"/>
      </w:tblGrid>
      <w:tr>
        <w:trPr>
          <w:tblHeader w:val="true"/>
          <w:cantSplit/>
        </w:trPr>
        <w:tc>
          <w:tcPr>
            <w:tcW w:type="dxa" w:w="5184"/>
            <w:shd w:fill="073B63"/>
            <w:vAlign w:val="center"/>
          </w:tcPr>
          <w:p>
            <w:pPr>
              <w:spacing w:after="0"/>
            </w:pPr>
            <w:r>
              <w:rPr>
                <w:rFonts w:ascii="Arial" w:hAnsi="Arial"/>
                <w:b/>
                <w:color w:val="FFFFFF"/>
                <w:sz w:val="14"/>
              </w:rPr>
              <w:t>Method / route</w:t>
            </w:r>
          </w:p>
        </w:tc>
        <w:tc>
          <w:tcPr>
            <w:tcW w:type="dxa" w:w="5184"/>
            <w:shd w:fill="073B63"/>
            <w:vAlign w:val="center"/>
          </w:tcPr>
          <w:p>
            <w:pPr>
              <w:spacing w:after="0"/>
            </w:pPr>
            <w:r>
              <w:rPr>
                <w:rFonts w:ascii="Arial" w:hAnsi="Arial"/>
                <w:b/>
                <w:color w:val="FFFFFF"/>
                <w:sz w:val="14"/>
              </w:rPr>
              <w:t>Purpose and request</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/health</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SELECT 1 probe.</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/dashboard</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Latest/prior snapshots, parameter scores, history, contributors.</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/configuration</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Latest published model tree.</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PUT /configuration</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Full model payload; create/replace draft and audit.</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POST /configuration/publish</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Validate totals, publish latest draft.</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/assessment-periods</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List periods with latest snapshot.</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POST /assessment-periods</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Create code/label/start/end; userId optional.</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/assessment-periods/{code}/inputs</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Read active-model inputs.</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PUT /assessment-periods/{code}/inputs</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Batch upsert: inputs[{subparameterId, score, notes?}].</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POST /assessment-periods/{code}/calculate</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Calculate snapshot, results, status, audit.</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/remediations</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Optional parameterId/subparameterId/status filters.</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POST /remediations</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Create title/description/priority?/dueAt? for published child.</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PATCH /remediations/{id}</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Update status, priority, dueAt, title, description.</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/audit</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Page/pageSize; optional ISO from/to.</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/reports</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Page/pageSize and days filter.</w:t>
            </w:r>
          </w:p>
        </w:tc>
      </w:tr>
      <w:tr>
        <w:trPr>
          <w:cantSplit/>
        </w:trPr>
        <w:tc>
          <w:tcPr>
            <w:tcW w:type="dxa" w:w="453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POST /reports</w:t>
            </w:r>
          </w:p>
        </w:tc>
        <w:tc>
          <w:tcPr>
            <w:tcW w:type="dxa" w:w="554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Create type/period/user metadata and return URL.</w:t>
            </w:r>
          </w:p>
        </w:tc>
      </w:tr>
      <w:tr>
        <w:trPr>
          <w:cantSplit/>
        </w:trPr>
        <w:tc>
          <w:tcPr>
            <w:tcW w:type="dxa" w:w="453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/reports/{id}/download</w:t>
            </w:r>
          </w:p>
        </w:tc>
        <w:tc>
          <w:tcPr>
            <w:tcW w:type="dxa" w:w="554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Generate CSV attachment from persisted data.</w:t>
            </w:r>
          </w:p>
        </w:tc>
      </w:tr>
    </w:tbl>
    <w:p>
      <w:pPr>
        <w:spacing w:after="0"/>
      </w:pPr>
    </w:p>
    <w:p>
      <w:pPr>
        <w:pStyle w:val="Heading2"/>
      </w:pPr>
      <w:r>
        <w:t>Validation, errors, pagination</w:t>
      </w:r>
    </w:p>
    <w:tbl>
      <w:tblPr>
        <w:tblW w:type="auto" w:w="0"/>
        <w:jc w:val="center"/>
        <w:tblLayout w:type="fixed"/>
        <w:tblLook w:firstColumn="1" w:firstRow="1" w:lastColumn="0" w:lastRow="0" w:noHBand="0" w:noVBand="1" w:val="04A0"/>
      </w:tblPr>
      <w:tblGrid>
        <w:gridCol w:w="3024"/>
        <w:gridCol w:w="7056"/>
      </w:tblGrid>
      <w:tr>
        <w:trPr>
          <w:tblHeader w:val="true"/>
          <w:cantSplit/>
        </w:trPr>
        <w:tc>
          <w:tcPr>
            <w:tcW w:type="dxa" w:w="5184"/>
            <w:shd w:fill="073B63"/>
            <w:vAlign w:val="center"/>
          </w:tcPr>
          <w:p>
            <w:pPr>
              <w:spacing w:after="0"/>
            </w:pPr>
            <w:r>
              <w:rPr>
                <w:rFonts w:ascii="Arial" w:hAnsi="Arial"/>
                <w:b/>
                <w:color w:val="FFFFFF"/>
                <w:sz w:val="16"/>
              </w:rPr>
              <w:t>Case</w:t>
            </w:r>
          </w:p>
        </w:tc>
        <w:tc>
          <w:tcPr>
            <w:tcW w:type="dxa" w:w="5184"/>
            <w:shd w:fill="073B63"/>
            <w:vAlign w:val="center"/>
          </w:tcPr>
          <w:p>
            <w:pPr>
              <w:spacing w:after="0"/>
            </w:pPr>
            <w:r>
              <w:rPr>
                <w:rFonts w:ascii="Arial" w:hAnsi="Arial"/>
                <w:b/>
                <w:color w:val="FFFFFF"/>
                <w:sz w:val="16"/>
              </w:rPr>
              <w:t>Behavior</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Malformed JSON</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400.</w:t>
            </w:r>
          </w:p>
        </w:tc>
      </w:tr>
      <w:tr>
        <w:trPr>
          <w:cantSplit/>
        </w:trPr>
        <w:tc>
          <w:tcPr>
            <w:tcW w:type="dxa" w:w="302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Zod/schema/weight failure</w:t>
            </w:r>
          </w:p>
        </w:tc>
        <w:tc>
          <w:tcPr>
            <w:tcW w:type="dxa" w:w="705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422.</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Missing resource</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404.</w:t>
            </w:r>
          </w:p>
        </w:tc>
      </w:tr>
      <w:tr>
        <w:trPr>
          <w:cantSplit/>
        </w:trPr>
        <w:tc>
          <w:tcPr>
            <w:tcW w:type="dxa" w:w="302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Unique or FK conflict</w:t>
            </w:r>
          </w:p>
        </w:tc>
        <w:tc>
          <w:tcPr>
            <w:tcW w:type="dxa" w:w="705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409.</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Unexpected failure</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500 generic response; console log.</w:t>
            </w:r>
          </w:p>
        </w:tc>
      </w:tr>
      <w:tr>
        <w:trPr>
          <w:cantSplit/>
        </w:trPr>
        <w:tc>
          <w:tcPr>
            <w:tcW w:type="dxa" w:w="3024"/>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Database unavailable</w:t>
            </w:r>
          </w:p>
        </w:tc>
        <w:tc>
          <w:tcPr>
            <w:tcW w:type="dxa" w:w="7056"/>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Health returns 503/degraded.</w:t>
            </w:r>
          </w:p>
        </w:tc>
      </w:tr>
      <w:tr>
        <w:trPr>
          <w:cantSplit/>
        </w:trPr>
        <w:tc>
          <w:tcPr>
            <w:tcW w:type="dxa" w:w="3024"/>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History paging</w:t>
            </w:r>
          </w:p>
        </w:tc>
        <w:tc>
          <w:tcPr>
            <w:tcW w:type="dxa" w:w="7056"/>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page default 1; pageSize default 20/max 100; total/pageCount included.</w:t>
            </w:r>
          </w:p>
        </w:tc>
      </w:tr>
    </w:tbl>
    <w:p>
      <w:pPr>
        <w:spacing w:after="0"/>
      </w:pPr>
    </w:p>
    <w:p>
      <w:r>
        <w:t>Audit accepts from/to ISO timestamps; report list accepts positive days. Remediation status supports OPEN, IN_PROGRESS, DONE.</w:t>
      </w:r>
    </w:p>
    <w:p>
      <w:pPr>
        <w:pStyle w:val="Heading2"/>
      </w:pPr>
      <w:r>
        <w:t>Manual input example</w:t>
      </w:r>
    </w:p>
    <w:p>
      <w:pPr>
        <w:pStyle w:val="CodeBlock"/>
      </w:pPr>
      <w:r>
        <w:t>PUT /api/v1/assessment-periods/2026-H2/inputs</w:t>
      </w:r>
    </w:p>
    <w:p>
      <w:pPr>
        <w:pStyle w:val="CodeBlock"/>
      </w:pPr>
      <w:r>
        <w:t>{"userId":"demo-user-id","inputs":[{"subparameterId":"availability-1","score":88},{"subparameterId":"availability-2","score":74}]}</w:t>
      </w:r>
    </w:p>
    <w:p>
      <w:pPr>
        <w:pStyle w:val="SmallNote"/>
      </w:pPr>
      <w:r>
        <w:t>External payload IDs are model codes; handlers resolve them to database IDs and verify they belong to the latest published model.</w:t>
      </w:r>
    </w:p>
    <w:p>
      <w:pPr>
        <w:pStyle w:val="Heading1"/>
      </w:pPr>
      <w:r>
        <w:t>6. Configuration and reporting</w:t>
      </w:r>
    </w:p>
    <w:p>
      <w:r>
        <w:t>Configuration uses draft then publish. Report records are metadata; files are generated when requested.</w:t>
      </w:r>
    </w:p>
    <w:p>
      <w:pPr>
        <w:pStyle w:val="Heading2"/>
      </w:pPr>
      <w:r>
        <w:t>Configuration and reporting flow</w:t>
      </w:r>
    </w:p>
    <w:tbl>
      <w:tblPr>
        <w:tblW w:type="auto" w:w="0"/>
        <w:jc w:val="center"/>
        <w:tblLayout w:type="fixed"/>
        <w:tblLook w:firstColumn="1" w:firstRow="1" w:lastColumn="0" w:lastRow="0" w:noHBand="0" w:noVBand="1" w:val="04A0"/>
      </w:tblPr>
      <w:tblGrid>
        <w:gridCol w:w="2952"/>
        <w:gridCol w:w="7128"/>
      </w:tblGrid>
      <w:tr>
        <w:trPr>
          <w:tblHeader w:val="true"/>
          <w:cantSplit/>
        </w:trPr>
        <w:tc>
          <w:tcPr>
            <w:tcW w:type="dxa" w:w="5184"/>
            <w:shd w:fill="073B63"/>
            <w:vAlign w:val="center"/>
          </w:tcPr>
          <w:p>
            <w:pPr>
              <w:spacing w:after="0"/>
            </w:pPr>
            <w:r>
              <w:rPr>
                <w:rFonts w:ascii="Arial" w:hAnsi="Arial"/>
                <w:b/>
                <w:color w:val="FFFFFF"/>
                <w:sz w:val="17"/>
              </w:rPr>
              <w:t>Step / component</w:t>
            </w:r>
          </w:p>
        </w:tc>
        <w:tc>
          <w:tcPr>
            <w:tcW w:type="dxa" w:w="5184"/>
            <w:shd w:fill="073B63"/>
            <w:vAlign w:val="center"/>
          </w:tcPr>
          <w:p>
            <w:pPr>
              <w:spacing w:after="0"/>
            </w:pPr>
            <w:r>
              <w:rPr>
                <w:rFonts w:ascii="Arial" w:hAnsi="Arial"/>
                <w:b/>
                <w:color w:val="FFFFFF"/>
                <w:sz w:val="17"/>
              </w:rPr>
              <w:t>Flow or responsibility</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PUT /configuration</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Validate full weights/tree → replace latest draft in transaction → write audit.</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POST /configuration/publish</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Check 100% totals → mark draft PUBLISHED → audit publication.</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POST /reports</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Create ReportDownload metadata and audit event → return download URL.</w:t>
            </w:r>
          </w:p>
        </w:tc>
      </w:tr>
      <w:tr>
        <w:trPr>
          <w:cantSplit/>
        </w:trPr>
        <w:tc>
          <w:tcPr>
            <w:tcW w:type="dxa" w:w="29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GET /reports</w:t>
            </w:r>
          </w:p>
        </w:tc>
        <w:tc>
          <w:tcPr>
            <w:tcW w:type="dxa" w:w="71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7"/>
              </w:rPr>
              <w:t>Filter by time range and page through history.</w:t>
            </w:r>
          </w:p>
        </w:tc>
      </w:tr>
      <w:tr>
        <w:trPr>
          <w:cantSplit/>
        </w:trPr>
        <w:tc>
          <w:tcPr>
            <w:tcW w:type="dxa" w:w="29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GET /reports/{id}/download</w:t>
            </w:r>
          </w:p>
        </w:tc>
        <w:tc>
          <w:tcPr>
            <w:tcW w:type="dxa" w:w="71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7"/>
              </w:rPr>
              <w:t>Read period/snapshot/results → stream CSV; no file storage.</w:t>
            </w:r>
          </w:p>
        </w:tc>
      </w:tr>
    </w:tbl>
    <w:p>
      <w:pPr>
        <w:spacing w:after="0"/>
      </w:pPr>
    </w:p>
    <w:p>
      <w:pPr>
        <w:pStyle w:val="SmallNote"/>
      </w:pPr>
      <w:r>
        <w:t>Diagram 3. Generated report CSV is a response, not a persisted file.</w:t>
      </w:r>
    </w:p>
    <w:p>
      <w:pPr>
        <w:pStyle w:val="ListBullet"/>
      </w:pPr>
      <w:r>
        <w:t>Earlier ModelVersion rows remain PUBLISHED; reads select highest version. There is no exclusive active pointer.</w:t>
      </w:r>
    </w:p>
    <w:p>
      <w:pPr>
        <w:pStyle w:val="ListBullet"/>
      </w:pPr>
      <w:r>
        <w:t>Report metadata and audit writes are separate calls and can partially succeed.</w:t>
      </w:r>
    </w:p>
    <w:p>
      <w:pPr>
        <w:pStyle w:val="ListBullet"/>
      </w:pPr>
      <w:r>
        <w:t>Dashboard contributors are parameter delta × parameter weight; subparameter trend currently returns null.</w:t>
      </w:r>
    </w:p>
    <w:p>
      <w:pPr>
        <w:pStyle w:val="Heading1"/>
      </w:pPr>
      <w:r>
        <w:t>7. Security and privacy</w:t>
      </w:r>
    </w:p>
    <w:p>
      <w:r>
        <w:t>UserRole is present, but login, sessions, and access checks are not. Treat current API as local-only.</w:t>
      </w:r>
    </w:p>
    <w:tbl>
      <w:tblPr>
        <w:tblW w:type="auto" w:w="0"/>
        <w:jc w:val="center"/>
        <w:tblLayout w:type="fixed"/>
        <w:tblLook w:firstColumn="1" w:firstRow="1" w:lastColumn="0" w:lastRow="0" w:noHBand="0" w:noVBand="1" w:val="04A0"/>
      </w:tblPr>
      <w:tblGrid>
        <w:gridCol w:w="1440"/>
        <w:gridCol w:w="3888"/>
        <w:gridCol w:w="4752"/>
      </w:tblGrid>
      <w:tr>
        <w:trPr>
          <w:tblHeader w:val="true"/>
          <w:cantSplit/>
        </w:trPr>
        <w:tc>
          <w:tcPr>
            <w:tcW w:type="dxa" w:w="3456"/>
            <w:shd w:fill="073B63"/>
            <w:vAlign w:val="center"/>
          </w:tcPr>
          <w:p>
            <w:pPr>
              <w:spacing w:after="0"/>
            </w:pPr>
            <w:r>
              <w:rPr>
                <w:rFonts w:ascii="Arial" w:hAnsi="Arial"/>
                <w:b/>
                <w:color w:val="FFFFFF"/>
                <w:sz w:val="14"/>
              </w:rPr>
              <w:t>Area</w:t>
            </w:r>
          </w:p>
        </w:tc>
        <w:tc>
          <w:tcPr>
            <w:tcW w:type="dxa" w:w="3456"/>
            <w:shd w:fill="073B63"/>
            <w:vAlign w:val="center"/>
          </w:tcPr>
          <w:p>
            <w:pPr>
              <w:spacing w:after="0"/>
            </w:pPr>
            <w:r>
              <w:rPr>
                <w:rFonts w:ascii="Arial" w:hAnsi="Arial"/>
                <w:b/>
                <w:color w:val="FFFFFF"/>
                <w:sz w:val="14"/>
              </w:rPr>
              <w:t>Current state</w:t>
            </w:r>
          </w:p>
        </w:tc>
        <w:tc>
          <w:tcPr>
            <w:tcW w:type="dxa" w:w="3456"/>
            <w:shd w:fill="073B63"/>
            <w:vAlign w:val="center"/>
          </w:tcPr>
          <w:p>
            <w:pPr>
              <w:spacing w:after="0"/>
            </w:pPr>
            <w:r>
              <w:rPr>
                <w:rFonts w:ascii="Arial" w:hAnsi="Arial"/>
                <w:b/>
                <w:color w:val="FFFFFF"/>
                <w:sz w:val="14"/>
              </w:rPr>
              <w:t>Before production</w:t>
            </w:r>
          </w:p>
        </w:tc>
      </w:tr>
      <w:tr>
        <w:trPr>
          <w:cantSplit/>
        </w:trPr>
        <w:tc>
          <w:tcPr>
            <w:tcW w:type="dxa" w:w="14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Identity</w:t>
            </w:r>
          </w:p>
        </w:tc>
        <w:tc>
          <w:tcPr>
            <w:tcW w:type="dxa" w:w="38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User rows/fixed demo name.</w:t>
            </w:r>
          </w:p>
        </w:tc>
        <w:tc>
          <w:tcPr>
            <w:tcW w:type="dxa" w:w="47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Trusted sign-in and server session.</w:t>
            </w:r>
          </w:p>
        </w:tc>
      </w:tr>
      <w:tr>
        <w:trPr>
          <w:cantSplit/>
        </w:trPr>
        <w:tc>
          <w:tcPr>
            <w:tcW w:type="dxa" w:w="14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Authorization</w:t>
            </w:r>
          </w:p>
        </w:tc>
        <w:tc>
          <w:tcPr>
            <w:tcW w:type="dxa" w:w="38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No role checks.</w:t>
            </w:r>
          </w:p>
        </w:tc>
        <w:tc>
          <w:tcPr>
            <w:tcW w:type="dxa" w:w="47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Viewer read-only; editor writes; admin publishing.</w:t>
            </w:r>
          </w:p>
        </w:tc>
      </w:tr>
      <w:tr>
        <w:trPr>
          <w:cantSplit/>
        </w:trPr>
        <w:tc>
          <w:tcPr>
            <w:tcW w:type="dxa" w:w="14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Attribution</w:t>
            </w:r>
          </w:p>
        </w:tc>
        <w:tc>
          <w:tcPr>
            <w:tcW w:type="dxa" w:w="38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Some endpoints accept userId.</w:t>
            </w:r>
          </w:p>
        </w:tc>
        <w:tc>
          <w:tcPr>
            <w:tcW w:type="dxa" w:w="47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Resolve actor server-side; distrust body identity.</w:t>
            </w:r>
          </w:p>
        </w:tc>
      </w:tr>
      <w:tr>
        <w:trPr>
          <w:cantSplit/>
        </w:trPr>
        <w:tc>
          <w:tcPr>
            <w:tcW w:type="dxa" w:w="14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Secrets</w:t>
            </w:r>
          </w:p>
        </w:tc>
        <w:tc>
          <w:tcPr>
            <w:tcW w:type="dxa" w:w="38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Ignored local .env; demo defaults.</w:t>
            </w:r>
          </w:p>
        </w:tc>
        <w:tc>
          <w:tcPr>
            <w:tcW w:type="dxa" w:w="47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Managed secrets and rotation.</w:t>
            </w:r>
          </w:p>
        </w:tc>
      </w:tr>
      <w:tr>
        <w:trPr>
          <w:cantSplit/>
        </w:trPr>
        <w:tc>
          <w:tcPr>
            <w:tcW w:type="dxa" w:w="14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Network</w:t>
            </w:r>
          </w:p>
        </w:tc>
        <w:tc>
          <w:tcPr>
            <w:tcW w:type="dxa" w:w="38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Local development.</w:t>
            </w:r>
          </w:p>
        </w:tc>
        <w:tc>
          <w:tcPr>
            <w:tcW w:type="dxa" w:w="47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TLS, headers, rate limits, environment isolation.</w:t>
            </w:r>
          </w:p>
        </w:tc>
      </w:tr>
      <w:tr>
        <w:trPr>
          <w:cantSplit/>
        </w:trPr>
        <w:tc>
          <w:tcPr>
            <w:tcW w:type="dxa" w:w="14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Audit</w:t>
            </w:r>
          </w:p>
        </w:tc>
        <w:tc>
          <w:tcPr>
            <w:tcW w:type="dxa" w:w="388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Core events; actor/details vary.</w:t>
            </w:r>
          </w:p>
        </w:tc>
        <w:tc>
          <w:tcPr>
            <w:tcW w:type="dxa" w:w="475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Required actor, before/after, retention/access.</w:t>
            </w:r>
          </w:p>
        </w:tc>
      </w:tr>
      <w:tr>
        <w:trPr>
          <w:cantSplit/>
        </w:trPr>
        <w:tc>
          <w:tcPr>
            <w:tcW w:type="dxa" w:w="14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Reports</w:t>
            </w:r>
          </w:p>
        </w:tc>
        <w:tc>
          <w:tcPr>
            <w:tcW w:type="dxa" w:w="388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CSV download unauthenticated.</w:t>
            </w:r>
          </w:p>
        </w:tc>
        <w:tc>
          <w:tcPr>
            <w:tcW w:type="dxa" w:w="475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Authorize and decide immutable/expiring exports.</w:t>
            </w:r>
          </w:p>
        </w:tc>
      </w:tr>
    </w:tbl>
    <w:p>
      <w:pPr>
        <w:spacing w:after="0"/>
      </w:pPr>
    </w:p>
    <w:tbl>
      <w:tblPr>
        <w:tblW w:type="auto" w:w="0"/>
        <w:tblLook w:firstColumn="1" w:firstRow="1" w:lastColumn="0" w:lastRow="0" w:noHBand="0" w:noVBand="1" w:val="04A0"/>
      </w:tblPr>
      <w:tblGrid>
        <w:gridCol w:w="10368"/>
      </w:tblGrid>
      <w:tr>
        <w:trPr>
          <w:tblHeader w:val="true"/>
          <w:cantSplit/>
        </w:trPr>
        <w:tc>
          <w:tcPr>
            <w:tcW w:type="dxa" w:w="10368"/>
            <w:shd w:fill="FFE0E4"/>
            <w:tcBorders>
              <w:top w:val="single" w:sz="6" w:color="B9DDE7"/>
              <w:left w:val="single" w:sz="6" w:color="B9DDE7"/>
              <w:bottom w:val="single" w:sz="6" w:color="B9DDE7"/>
              <w:right w:val="single" w:sz="6" w:color="B9DDE7"/>
            </w:tcBorders>
          </w:tcPr>
          <w:p>
            <w:r>
              <w:rPr>
                <w:b/>
                <w:color w:val="073B63"/>
              </w:rPr>
              <w:t>Release gate</w:t>
            </w:r>
          </w:p>
          <w:p>
            <w:r>
              <w:t>Do not expose API remotely before authentication, authorization, server-derived identity, secret management, and database recovery are implemented.</w:t>
            </w:r>
          </w:p>
        </w:tc>
      </w:tr>
    </w:tbl>
    <w:p/>
    <w:p>
      <w:r>
        <w:t>Notes, remediation details, audit JSON, and CSV reports may disclose operational weaknesses. Define access, retention, encryption, and backup policy.</w:t>
      </w:r>
    </w:p>
    <w:p>
      <w:pPr>
        <w:pStyle w:val="Heading1"/>
      </w:pPr>
      <w:r>
        <w:t>8. Reliability and operations</w:t>
      </w:r>
    </w:p>
    <w:p>
      <w:pPr>
        <w:pStyle w:val="Heading2"/>
      </w:pPr>
      <w:r>
        <w:t>Transactions</w:t>
      </w:r>
    </w:p>
    <w:p>
      <w:r>
        <w:t>Draft save, input batches, and calculations use Prisma transactions. Natural-key uniqueness supports idempotence. Report and audit writes are not in one transaction.</w:t>
      </w:r>
    </w:p>
    <w:p>
      <w:pPr>
        <w:pStyle w:val="Heading2"/>
      </w:pPr>
      <w:r>
        <w:t>Local startup</w:t>
      </w:r>
    </w:p>
    <w:p>
      <w:pPr>
        <w:pStyle w:val="CodeBlock"/>
      </w:pPr>
      <w:r>
        <w:t>cp .env.example .env</w:t>
      </w:r>
    </w:p>
    <w:p>
      <w:pPr>
        <w:pStyle w:val="CodeBlock"/>
      </w:pPr>
      <w:r>
        <w:t>Start Docker Desktop</w:t>
      </w:r>
    </w:p>
    <w:p>
      <w:pPr>
        <w:pStyle w:val="CodeBlock"/>
      </w:pPr>
      <w:r>
        <w:t>npm run db:up</w:t>
      </w:r>
    </w:p>
    <w:p>
      <w:pPr>
        <w:pStyle w:val="CodeBlock"/>
      </w:pPr>
      <w:r>
        <w:t>npm run db:migrate</w:t>
      </w:r>
    </w:p>
    <w:p>
      <w:pPr>
        <w:pStyle w:val="CodeBlock"/>
      </w:pPr>
      <w:r>
        <w:t>npm run db:seed</w:t>
      </w:r>
    </w:p>
    <w:p>
      <w:pPr>
        <w:pStyle w:val="CodeBlock"/>
      </w:pPr>
      <w:r>
        <w:t>npm run dev</w:t>
      </w:r>
    </w:p>
    <w:p>
      <w:r>
        <w:t>PostgreSQL 18 Alpine uses a named volume; host 5433 maps to container 5432. db:down retains the volume by default.</w:t>
      </w:r>
    </w:p>
    <w:p>
      <w:pPr>
        <w:pStyle w:val="Heading2"/>
      </w:pPr>
      <w:r>
        <w:t>Health and observability</w:t>
      </w:r>
    </w:p>
    <w:p>
      <w:r>
        <w:t>GET /health executes SELECT 1. Structured logging, request IDs, metrics, tracing, alerting, backup automation, and production deployment config are not present.</w:t>
      </w:r>
    </w:p>
    <w:tbl>
      <w:tblPr>
        <w:tblW w:type="auto" w:w="0"/>
        <w:jc w:val="center"/>
        <w:tblLayout w:type="fixed"/>
        <w:tblLook w:firstColumn="1" w:firstRow="1" w:lastColumn="0" w:lastRow="0" w:noHBand="0" w:noVBand="1" w:val="04A0"/>
      </w:tblPr>
      <w:tblGrid>
        <w:gridCol w:w="2880"/>
        <w:gridCol w:w="7200"/>
      </w:tblGrid>
      <w:tr>
        <w:trPr>
          <w:tblHeader w:val="true"/>
          <w:cantSplit/>
        </w:trPr>
        <w:tc>
          <w:tcPr>
            <w:tcW w:type="dxa" w:w="5184"/>
            <w:shd w:fill="073B63"/>
            <w:vAlign w:val="center"/>
          </w:tcPr>
          <w:p>
            <w:pPr>
              <w:spacing w:after="0"/>
            </w:pPr>
            <w:r>
              <w:rPr>
                <w:rFonts w:ascii="Arial" w:hAnsi="Arial"/>
                <w:b/>
                <w:color w:val="FFFFFF"/>
                <w:sz w:val="16"/>
              </w:rPr>
              <w:t>Failure</w:t>
            </w:r>
          </w:p>
        </w:tc>
        <w:tc>
          <w:tcPr>
            <w:tcW w:type="dxa" w:w="5184"/>
            <w:shd w:fill="073B63"/>
            <w:vAlign w:val="center"/>
          </w:tcPr>
          <w:p>
            <w:pPr>
              <w:spacing w:after="0"/>
            </w:pPr>
            <w:r>
              <w:rPr>
                <w:rFonts w:ascii="Arial" w:hAnsi="Arial"/>
                <w:b/>
                <w:color w:val="FFFFFF"/>
                <w:sz w:val="16"/>
              </w:rPr>
              <w:t>Handling</w:t>
            </w:r>
          </w:p>
        </w:tc>
      </w:tr>
      <w:tr>
        <w:trPr>
          <w:cantSplit/>
        </w:trPr>
        <w:tc>
          <w:tcPr>
            <w:tcW w:type="dxa" w:w="288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DB unavailable</w:t>
            </w:r>
          </w:p>
        </w:tc>
        <w:tc>
          <w:tcPr>
            <w:tcW w:type="dxa" w:w="720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Health 503; other DB errors return generic 500.</w:t>
            </w:r>
          </w:p>
        </w:tc>
      </w:tr>
      <w:tr>
        <w:trPr>
          <w:cantSplit/>
        </w:trPr>
        <w:tc>
          <w:tcPr>
            <w:tcW w:type="dxa" w:w="288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Duplicate key</w:t>
            </w:r>
          </w:p>
        </w:tc>
        <w:tc>
          <w:tcPr>
            <w:tcW w:type="dxa" w:w="720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409.</w:t>
            </w:r>
          </w:p>
        </w:tc>
      </w:tr>
      <w:tr>
        <w:trPr>
          <w:cantSplit/>
        </w:trPr>
        <w:tc>
          <w:tcPr>
            <w:tcW w:type="dxa" w:w="288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Invalid input</w:t>
            </w:r>
          </w:p>
        </w:tc>
        <w:tc>
          <w:tcPr>
            <w:tcW w:type="dxa" w:w="720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422.</w:t>
            </w:r>
          </w:p>
        </w:tc>
      </w:tr>
      <w:tr>
        <w:trPr>
          <w:cantSplit/>
        </w:trPr>
        <w:tc>
          <w:tcPr>
            <w:tcW w:type="dxa" w:w="288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Missing period/model/report</w:t>
            </w:r>
          </w:p>
        </w:tc>
        <w:tc>
          <w:tcPr>
            <w:tcW w:type="dxa" w:w="720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6"/>
              </w:rPr>
              <w:t>404.</w:t>
            </w:r>
          </w:p>
        </w:tc>
      </w:tr>
      <w:tr>
        <w:trPr>
          <w:cantSplit/>
        </w:trPr>
        <w:tc>
          <w:tcPr>
            <w:tcW w:type="dxa" w:w="288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Partial scores</w:t>
            </w:r>
          </w:p>
        </w:tc>
        <w:tc>
          <w:tcPr>
            <w:tcW w:type="dxa" w:w="720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6"/>
              </w:rPr>
              <w:t>Provisional estimate/counts; official score null.</w:t>
            </w:r>
          </w:p>
        </w:tc>
      </w:tr>
    </w:tbl>
    <w:p>
      <w:pPr>
        <w:spacing w:after="0"/>
      </w:pPr>
    </w:p>
    <w:p>
      <w:pPr>
        <w:pStyle w:val="Heading1"/>
      </w:pPr>
      <w:r>
        <w:t>9. Frontend integration roadmap</w:t>
      </w:r>
    </w:p>
    <w:tbl>
      <w:tblPr>
        <w:tblW w:type="auto" w:w="0"/>
        <w:jc w:val="center"/>
        <w:tblLayout w:type="fixed"/>
        <w:tblLook w:firstColumn="1" w:firstRow="1" w:lastColumn="0" w:lastRow="0" w:noHBand="0" w:noVBand="1" w:val="04A0"/>
      </w:tblPr>
      <w:tblGrid>
        <w:gridCol w:w="1728"/>
        <w:gridCol w:w="5112"/>
        <w:gridCol w:w="3240"/>
      </w:tblGrid>
      <w:tr>
        <w:trPr>
          <w:tblHeader w:val="true"/>
          <w:cantSplit/>
        </w:trPr>
        <w:tc>
          <w:tcPr>
            <w:tcW w:type="dxa" w:w="3456"/>
            <w:shd w:fill="073B63"/>
            <w:vAlign w:val="center"/>
          </w:tcPr>
          <w:p>
            <w:pPr>
              <w:spacing w:after="0"/>
            </w:pPr>
            <w:r>
              <w:rPr>
                <w:rFonts w:ascii="Arial" w:hAnsi="Arial"/>
                <w:b/>
                <w:color w:val="FFFFFF"/>
                <w:sz w:val="14"/>
              </w:rPr>
              <w:t>Phase</w:t>
            </w:r>
          </w:p>
        </w:tc>
        <w:tc>
          <w:tcPr>
            <w:tcW w:type="dxa" w:w="3456"/>
            <w:shd w:fill="073B63"/>
            <w:vAlign w:val="center"/>
          </w:tcPr>
          <w:p>
            <w:pPr>
              <w:spacing w:after="0"/>
            </w:pPr>
            <w:r>
              <w:rPr>
                <w:rFonts w:ascii="Arial" w:hAnsi="Arial"/>
                <w:b/>
                <w:color w:val="FFFFFF"/>
                <w:sz w:val="14"/>
              </w:rPr>
              <w:t>Work</w:t>
            </w:r>
          </w:p>
        </w:tc>
        <w:tc>
          <w:tcPr>
            <w:tcW w:type="dxa" w:w="3456"/>
            <w:shd w:fill="073B63"/>
            <w:vAlign w:val="center"/>
          </w:tcPr>
          <w:p>
            <w:pPr>
              <w:spacing w:after="0"/>
            </w:pPr>
            <w:r>
              <w:rPr>
                <w:rFonts w:ascii="Arial" w:hAnsi="Arial"/>
                <w:b/>
                <w:color w:val="FFFFFF"/>
                <w:sz w:val="14"/>
              </w:rPr>
              <w:t>Outcome</w:t>
            </w:r>
          </w:p>
        </w:tc>
      </w:tr>
      <w:tr>
        <w:trPr>
          <w:cantSplit/>
        </w:trPr>
        <w:tc>
          <w:tcPr>
            <w:tcW w:type="dxa" w:w="17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1 API client</w:t>
            </w:r>
          </w:p>
        </w:tc>
        <w:tc>
          <w:tcPr>
            <w:tcW w:type="dxa" w:w="51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DTOs, typed fetch helpers, loading/error/empty states.</w:t>
            </w:r>
          </w:p>
        </w:tc>
        <w:tc>
          <w:tcPr>
            <w:tcW w:type="dxa" w:w="32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Shared screen data boundary.</w:t>
            </w:r>
          </w:p>
        </w:tc>
      </w:tr>
      <w:tr>
        <w:trPr>
          <w:cantSplit/>
        </w:trPr>
        <w:tc>
          <w:tcPr>
            <w:tcW w:type="dxa" w:w="17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2 Dashboard</w:t>
            </w:r>
          </w:p>
        </w:tc>
        <w:tc>
          <w:tcPr>
            <w:tcW w:type="dxa" w:w="51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dashboard and remediations; remove fixtures.</w:t>
            </w:r>
          </w:p>
        </w:tc>
        <w:tc>
          <w:tcPr>
            <w:tcW w:type="dxa" w:w="32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Widgets reflect database.</w:t>
            </w:r>
          </w:p>
        </w:tc>
      </w:tr>
      <w:tr>
        <w:trPr>
          <w:cantSplit/>
        </w:trPr>
        <w:tc>
          <w:tcPr>
            <w:tcW w:type="dxa" w:w="17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3 Configure</w:t>
            </w:r>
          </w:p>
        </w:tc>
        <w:tc>
          <w:tcPr>
            <w:tcW w:type="dxa" w:w="51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model; PUT draft; publish explicitly.</w:t>
            </w:r>
          </w:p>
        </w:tc>
        <w:tc>
          <w:tcPr>
            <w:tcW w:type="dxa" w:w="32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Persistent model edits.</w:t>
            </w:r>
          </w:p>
        </w:tc>
      </w:tr>
      <w:tr>
        <w:trPr>
          <w:cantSplit/>
        </w:trPr>
        <w:tc>
          <w:tcPr>
            <w:tcW w:type="dxa" w:w="17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4 History</w:t>
            </w:r>
          </w:p>
        </w:tc>
        <w:tc>
          <w:tcPr>
            <w:tcW w:type="dxa" w:w="51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GET audit/reports; POST report and follow URL.</w:t>
            </w:r>
          </w:p>
        </w:tc>
        <w:tc>
          <w:tcPr>
            <w:tcW w:type="dxa" w:w="32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DB-backed filtering/downloads.</w:t>
            </w:r>
          </w:p>
        </w:tc>
      </w:tr>
      <w:tr>
        <w:trPr>
          <w:cantSplit/>
        </w:trPr>
        <w:tc>
          <w:tcPr>
            <w:tcW w:type="dxa" w:w="17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5 Identity</w:t>
            </w:r>
          </w:p>
        </w:tc>
        <w:tc>
          <w:tcPr>
            <w:tcW w:type="dxa" w:w="51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Sign-in, sessions, roles, actor attribution.</w:t>
            </w:r>
          </w:p>
        </w:tc>
        <w:tc>
          <w:tcPr>
            <w:tcW w:type="dxa" w:w="32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No anonymous mutations.</w:t>
            </w:r>
          </w:p>
        </w:tc>
      </w:tr>
      <w:tr>
        <w:trPr>
          <w:cantSplit/>
        </w:trPr>
        <w:tc>
          <w:tcPr>
            <w:tcW w:type="dxa" w:w="172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6 Provider adapters</w:t>
            </w:r>
          </w:p>
        </w:tc>
        <w:tc>
          <w:tcPr>
            <w:tcW w:type="dxa" w:w="51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Normalized, idempotent observations.</w:t>
            </w:r>
          </w:p>
        </w:tc>
        <w:tc>
          <w:tcPr>
            <w:tcW w:type="dxa" w:w="3240"/>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4"/>
              </w:rPr>
              <w:t>Safe retries and provenance.</w:t>
            </w:r>
          </w:p>
        </w:tc>
      </w:tr>
      <w:tr>
        <w:trPr>
          <w:cantSplit/>
        </w:trPr>
        <w:tc>
          <w:tcPr>
            <w:tcW w:type="dxa" w:w="172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7 Hosting</w:t>
            </w:r>
          </w:p>
        </w:tc>
        <w:tc>
          <w:tcPr>
            <w:tcW w:type="dxa" w:w="51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Choose host; secrets/migrations/backups/monitoring.</w:t>
            </w:r>
          </w:p>
        </w:tc>
        <w:tc>
          <w:tcPr>
            <w:tcW w:type="dxa" w:w="3240"/>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4"/>
              </w:rPr>
              <w:t>Repeatable deploy and recovery.</w:t>
            </w:r>
          </w:p>
        </w:tc>
      </w:tr>
    </w:tbl>
    <w:p>
      <w:pPr>
        <w:spacing w:after="0"/>
      </w:pPr>
    </w:p>
    <w:p>
      <w:pPr>
        <w:pStyle w:val="Heading2"/>
      </w:pPr>
      <w:r>
        <w:t>Integration contract</w:t>
      </w:r>
    </w:p>
    <w:p>
      <w:r>
        <w:t>Current model source fields are descriptive strings; AssessmentInput.source is MANUAL only. Future ingestion should carry provider, external record ID, observedAt, child code, validated score, and idempotency/correlation key. Keep vendor clients out of UI and dashboard route handlers.</w:t>
      </w:r>
    </w:p>
    <w:p>
      <w:pPr>
        <w:pStyle w:val="CodeBlock"/>
      </w:pPr>
      <w:r>
        <w:t>provider adapter -&gt; normalized observation -&gt; validation</w:t>
      </w:r>
    </w:p>
    <w:p>
      <w:pPr>
        <w:pStyle w:val="CodeBlock"/>
      </w:pPr>
      <w:r>
        <w:t>-&gt; idempotent input upsert -&gt; audit outcome -&gt; recalculation</w:t>
      </w:r>
    </w:p>
    <w:p>
      <w:pPr>
        <w:pStyle w:val="Heading1"/>
      </w:pPr>
      <w:r>
        <w:t>10. Known gaps and design decisions</w:t>
      </w:r>
    </w:p>
    <w:tbl>
      <w:tblPr>
        <w:tblW w:type="auto" w:w="0"/>
        <w:jc w:val="center"/>
        <w:tblLayout w:type="fixed"/>
        <w:tblLook w:firstColumn="1" w:firstRow="1" w:lastColumn="0" w:lastRow="0" w:noHBand="0" w:noVBand="1" w:val="04A0"/>
      </w:tblPr>
      <w:tblGrid>
        <w:gridCol w:w="3312"/>
        <w:gridCol w:w="6768"/>
      </w:tblGrid>
      <w:tr>
        <w:trPr>
          <w:tblHeader w:val="true"/>
          <w:cantSplit/>
        </w:trPr>
        <w:tc>
          <w:tcPr>
            <w:tcW w:type="dxa" w:w="5184"/>
            <w:shd w:fill="073B63"/>
            <w:vAlign w:val="center"/>
          </w:tcPr>
          <w:p>
            <w:pPr>
              <w:spacing w:after="0"/>
            </w:pPr>
            <w:r>
              <w:rPr>
                <w:rFonts w:ascii="Arial" w:hAnsi="Arial"/>
                <w:b/>
                <w:color w:val="FFFFFF"/>
                <w:sz w:val="15"/>
              </w:rPr>
              <w:t>Gap</w:t>
            </w:r>
          </w:p>
        </w:tc>
        <w:tc>
          <w:tcPr>
            <w:tcW w:type="dxa" w:w="5184"/>
            <w:shd w:fill="073B63"/>
            <w:vAlign w:val="center"/>
          </w:tcPr>
          <w:p>
            <w:pPr>
              <w:spacing w:after="0"/>
            </w:pPr>
            <w:r>
              <w:rPr>
                <w:rFonts w:ascii="Arial" w:hAnsi="Arial"/>
                <w:b/>
                <w:color w:val="FFFFFF"/>
                <w:sz w:val="15"/>
              </w:rPr>
              <w:t>Impact / direction</w:t>
            </w:r>
          </w:p>
        </w:tc>
      </w:tr>
      <w:tr>
        <w:trPr>
          <w:cantSplit/>
        </w:trPr>
        <w:tc>
          <w:tcPr>
            <w:tcW w:type="dxa" w:w="33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No authentication</w:t>
            </w:r>
          </w:p>
        </w:tc>
        <w:tc>
          <w:tcPr>
            <w:tcW w:type="dxa" w:w="67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Add role-aware identity before hosting.</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UI disconnected</w:t>
            </w:r>
          </w:p>
        </w:tc>
        <w:tc>
          <w:tcPr>
            <w:tcW w:type="dxa" w:w="67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Replace fixtures/localStorage with typed calls.</w:t>
            </w:r>
          </w:p>
        </w:tc>
      </w:tr>
      <w:tr>
        <w:trPr>
          <w:cantSplit/>
        </w:trPr>
        <w:tc>
          <w:tcPr>
            <w:tcW w:type="dxa" w:w="33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Multiple published versions</w:t>
            </w:r>
          </w:p>
        </w:tc>
        <w:tc>
          <w:tcPr>
            <w:tcW w:type="dxa" w:w="67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Demote old versions or add active pointer.</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Mutable inputs</w:t>
            </w:r>
          </w:p>
        </w:tc>
        <w:tc>
          <w:tcPr>
            <w:tcW w:type="dxa" w:w="67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Decide if immutable score revisions are needed.</w:t>
            </w:r>
          </w:p>
        </w:tc>
      </w:tr>
      <w:tr>
        <w:trPr>
          <w:cantSplit/>
        </w:trPr>
        <w:tc>
          <w:tcPr>
            <w:tcW w:type="dxa" w:w="33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Calculation scope</w:t>
            </w:r>
          </w:p>
        </w:tc>
        <w:tc>
          <w:tcPr>
            <w:tcW w:type="dxa" w:w="67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Filter inputs to active model and define republish recalculation.</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Subparameter trend null</w:t>
            </w:r>
          </w:p>
        </w:tc>
        <w:tc>
          <w:tcPr>
            <w:tcW w:type="dxa" w:w="67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Compare current and previous child results.</w:t>
            </w:r>
          </w:p>
        </w:tc>
      </w:tr>
      <w:tr>
        <w:trPr>
          <w:cantSplit/>
        </w:trPr>
        <w:tc>
          <w:tcPr>
            <w:tcW w:type="dxa" w:w="331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CSV regenerated</w:t>
            </w:r>
          </w:p>
        </w:tc>
        <w:tc>
          <w:tcPr>
            <w:tcW w:type="dxa" w:w="676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Choose current-state or immutable file behavior.</w:t>
            </w:r>
          </w:p>
        </w:tc>
      </w:tr>
      <w:tr>
        <w:trPr>
          <w:cantSplit/>
        </w:trPr>
        <w:tc>
          <w:tcPr>
            <w:tcW w:type="dxa" w:w="331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Manual-only source enum</w:t>
            </w:r>
          </w:p>
        </w:tc>
        <w:tc>
          <w:tcPr>
            <w:tcW w:type="dxa" w:w="676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Add provider provenance and idempotency.</w:t>
            </w:r>
          </w:p>
        </w:tc>
      </w:tr>
    </w:tbl>
    <w:p>
      <w:pPr>
        <w:spacing w:after="0"/>
      </w:pPr>
    </w:p>
    <w:p>
      <w:pPr>
        <w:pStyle w:val="Heading2"/>
      </w:pPr>
      <w:r>
        <w:t>Baseline</w:t>
      </w:r>
    </w:p>
    <w:p>
      <w:r>
        <w:t>Single organization, manual-first input, half-year periods, and 100% weights at both levels are established. Hosting, SSO, providers, and immutable report storage remain open.</w:t>
      </w:r>
      <w:r>
        <w:t xml:space="preserve"> Seeded values are illustrative demo data, not operational resilience evidence.</w:t>
      </w:r>
    </w:p>
    <w:p>
      <w:pPr>
        <w:pStyle w:val="Heading1"/>
      </w:pPr>
      <w:r>
        <w:t>Appendix A. Source map</w:t>
      </w:r>
    </w:p>
    <w:tbl>
      <w:tblPr>
        <w:tblW w:type="auto" w:w="0"/>
        <w:jc w:val="center"/>
        <w:tblLayout w:type="fixed"/>
        <w:tblLook w:firstColumn="1" w:firstRow="1" w:lastColumn="0" w:lastRow="0" w:noHBand="0" w:noVBand="1" w:val="04A0"/>
      </w:tblPr>
      <w:tblGrid>
        <w:gridCol w:w="4608"/>
        <w:gridCol w:w="5472"/>
      </w:tblGrid>
      <w:tr>
        <w:trPr>
          <w:tblHeader w:val="true"/>
          <w:cantSplit/>
        </w:trPr>
        <w:tc>
          <w:tcPr>
            <w:tcW w:type="dxa" w:w="5184"/>
            <w:shd w:fill="073B63"/>
            <w:vAlign w:val="center"/>
          </w:tcPr>
          <w:p>
            <w:pPr>
              <w:spacing w:after="0"/>
            </w:pPr>
            <w:r>
              <w:rPr>
                <w:rFonts w:ascii="Arial" w:hAnsi="Arial"/>
                <w:b/>
                <w:color w:val="FFFFFF"/>
                <w:sz w:val="15"/>
              </w:rPr>
              <w:t>Path</w:t>
            </w:r>
          </w:p>
        </w:tc>
        <w:tc>
          <w:tcPr>
            <w:tcW w:type="dxa" w:w="5184"/>
            <w:shd w:fill="073B63"/>
            <w:vAlign w:val="center"/>
          </w:tcPr>
          <w:p>
            <w:pPr>
              <w:spacing w:after="0"/>
            </w:pPr>
            <w:r>
              <w:rPr>
                <w:rFonts w:ascii="Arial" w:hAnsi="Arial"/>
                <w:b/>
                <w:color w:val="FFFFFF"/>
                <w:sz w:val="15"/>
              </w:rPr>
              <w:t>Responsibility</w:t>
            </w:r>
          </w:p>
        </w:tc>
      </w:tr>
      <w:tr>
        <w:trPr>
          <w:cantSplit/>
        </w:trPr>
        <w:tc>
          <w:tcPr>
            <w:tcW w:type="dxa" w:w="460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prisma/schema.prisma</w:t>
            </w:r>
          </w:p>
        </w:tc>
        <w:tc>
          <w:tcPr>
            <w:tcW w:type="dxa" w:w="547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Entities, enums, relations, constraints.</w:t>
            </w:r>
          </w:p>
        </w:tc>
      </w:tr>
      <w:tr>
        <w:trPr>
          <w:cantSplit/>
        </w:trPr>
        <w:tc>
          <w:tcPr>
            <w:tcW w:type="dxa" w:w="460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prisma/migrations</w:t>
            </w:r>
          </w:p>
        </w:tc>
        <w:tc>
          <w:tcPr>
            <w:tcW w:type="dxa" w:w="547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Initial schema migration.</w:t>
            </w:r>
          </w:p>
        </w:tc>
      </w:tr>
      <w:tr>
        <w:trPr>
          <w:cantSplit/>
        </w:trPr>
        <w:tc>
          <w:tcPr>
            <w:tcW w:type="dxa" w:w="460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prisma/seed.ts</w:t>
            </w:r>
          </w:p>
        </w:tc>
        <w:tc>
          <w:tcPr>
            <w:tcW w:type="dxa" w:w="547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Demo model, periods, scores, snapshots, actions.</w:t>
            </w:r>
          </w:p>
        </w:tc>
      </w:tr>
      <w:tr>
        <w:trPr>
          <w:cantSplit/>
        </w:trPr>
        <w:tc>
          <w:tcPr>
            <w:tcW w:type="dxa" w:w="460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src/lib/assessment.ts</w:t>
            </w:r>
          </w:p>
        </w:tc>
        <w:tc>
          <w:tcPr>
            <w:tcW w:type="dxa" w:w="547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Weighted scoring and provisional semantics.</w:t>
            </w:r>
          </w:p>
        </w:tc>
      </w:tr>
      <w:tr>
        <w:trPr>
          <w:cantSplit/>
        </w:trPr>
        <w:tc>
          <w:tcPr>
            <w:tcW w:type="dxa" w:w="460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src/lib/configuration.ts</w:t>
            </w:r>
          </w:p>
        </w:tc>
        <w:tc>
          <w:tcPr>
            <w:tcW w:type="dxa" w:w="547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Draft and publish.</w:t>
            </w:r>
          </w:p>
        </w:tc>
      </w:tr>
      <w:tr>
        <w:trPr>
          <w:cantSplit/>
        </w:trPr>
        <w:tc>
          <w:tcPr>
            <w:tcW w:type="dxa" w:w="460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src/lib/validation.ts</w:t>
            </w:r>
          </w:p>
        </w:tc>
        <w:tc>
          <w:tcPr>
            <w:tcW w:type="dxa" w:w="547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Zod schemas.</w:t>
            </w:r>
          </w:p>
        </w:tc>
      </w:tr>
      <w:tr>
        <w:trPr>
          <w:cantSplit/>
        </w:trPr>
        <w:tc>
          <w:tcPr>
            <w:tcW w:type="dxa" w:w="460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src/lib/api-response.ts</w:t>
            </w:r>
          </w:p>
        </w:tc>
        <w:tc>
          <w:tcPr>
            <w:tcW w:type="dxa" w:w="547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Envelopes and error status mapping.</w:t>
            </w:r>
          </w:p>
        </w:tc>
      </w:tr>
      <w:tr>
        <w:trPr>
          <w:cantSplit/>
        </w:trPr>
        <w:tc>
          <w:tcPr>
            <w:tcW w:type="dxa" w:w="460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src/lib/prisma.ts</w:t>
            </w:r>
          </w:p>
        </w:tc>
        <w:tc>
          <w:tcPr>
            <w:tcW w:type="dxa" w:w="547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Prisma/Postgres setup.</w:t>
            </w:r>
          </w:p>
        </w:tc>
      </w:tr>
      <w:tr>
        <w:trPr>
          <w:cantSplit/>
        </w:trPr>
        <w:tc>
          <w:tcPr>
            <w:tcW w:type="dxa" w:w="4608"/>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src/app/api/v1</w:t>
            </w:r>
          </w:p>
        </w:tc>
        <w:tc>
          <w:tcPr>
            <w:tcW w:type="dxa" w:w="5472"/>
            <w:vAlign w:val="center"/>
            <w:tcBorders>
              <w:top w:val="single" w:sz="6" w:color="B9DDE7"/>
              <w:left w:val="single" w:sz="6" w:color="B9DDE7"/>
              <w:bottom w:val="single" w:sz="6" w:color="B9DDE7"/>
              <w:right w:val="single" w:sz="6" w:color="B9DDE7"/>
            </w:tcBorders>
          </w:tcPr>
          <w:p>
            <w:pPr>
              <w:spacing w:after="20"/>
            </w:pPr>
            <w:r>
              <w:rPr>
                <w:rFonts w:ascii="Arial" w:hAnsi="Arial"/>
                <w:color w:val="19344A"/>
                <w:sz w:val="15"/>
              </w:rPr>
              <w:t>HTTP routes.</w:t>
            </w:r>
          </w:p>
        </w:tc>
      </w:tr>
      <w:tr>
        <w:trPr>
          <w:cantSplit/>
        </w:trPr>
        <w:tc>
          <w:tcPr>
            <w:tcW w:type="dxa" w:w="4608"/>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features/*/data and components</w:t>
            </w:r>
          </w:p>
        </w:tc>
        <w:tc>
          <w:tcPr>
            <w:tcW w:type="dxa" w:w="5472"/>
            <w:vAlign w:val="center"/>
            <w:shd w:fill="F5FCFE"/>
            <w:tcBorders>
              <w:top w:val="single" w:sz="6" w:color="B9DDE7"/>
              <w:left w:val="single" w:sz="6" w:color="B9DDE7"/>
              <w:bottom w:val="single" w:sz="6" w:color="B9DDE7"/>
              <w:right w:val="single" w:sz="6" w:color="B9DDE7"/>
            </w:tcBorders>
          </w:tcPr>
          <w:p>
            <w:pPr>
              <w:spacing w:after="20"/>
            </w:pPr>
            <w:r>
              <w:rPr>
                <w:rFonts w:ascii="Arial" w:hAnsi="Arial"/>
                <w:color w:val="19344A"/>
                <w:sz w:val="15"/>
              </w:rPr>
              <w:t>Frontend fixtures/localStorage behavior.</w:t>
            </w:r>
          </w:p>
        </w:tc>
      </w:tr>
    </w:tbl>
    <w:p>
      <w:pPr>
        <w:spacing w:after="0" w:before="0" w:line="240" w:lineRule="auto"/>
      </w:pP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7485"/>
        <w:sz w:val="16"/>
      </w:rPr>
      <w:t xml:space="preserve">IT Resilience Command Center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7485"/>
        <w:sz w:val="16"/>
      </w:rPr>
      <w:t>ITRI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934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73B63"/>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D6C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Arial" w:hAnsi="Arial"/>
      <w:b/>
      <w:color w:val="073B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color w:val="073B63"/>
      <w:sz w:val="16"/>
    </w:rPr>
  </w:style>
  <w:style w:type="paragraph" w:customStyle="1" w:styleId="SmallNote">
    <w:name w:val="Small Note"/>
    <w:rPr>
      <w:rFonts w:ascii="Arial" w:hAnsi="Arial"/>
      <w:color w:val="5D74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 Application Technical Design</dc:title>
  <dc:subject>Architecture, API, scoring, database, and data flow</dc:subject>
  <dc:creator>ITRI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