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D2B4E" w:val="clear"/>
            <w:tcMar>
              <w:top w:type="dxa" w:w="200"/>
              <w:left w:type="dxa" w:w="300"/>
              <w:bottom w:type="dxa" w:w="200"/>
              <w:right w:type="dxa" w:w="300"/>
            </w:tcMar>
          </w:tcPr>
          <w:p>
            <w:r>
              <w:rPr>
                <w:rFonts w:ascii="Arial" w:cs="Arial" w:eastAsia="Arial" w:hAnsi="Arial"/>
                <w:b/>
                <w:bCs/>
                <w:color w:val="FFFFFF"/>
                <w:sz w:val="44"/>
                <w:szCs w:val="44"/>
              </w:rPr>
              <w:t xml:space="preserve">ABHIGYA AI LAB</w:t>
            </w:r>
          </w:p>
          <w:p>
            <w:pPr>
              <w:spacing w:before="60"/>
            </w:pPr>
            <w:r>
              <w:rPr>
                <w:rFonts w:ascii="Arial" w:cs="Arial" w:eastAsia="Arial" w:hAnsi="Arial"/>
                <w:i/>
                <w:iCs/>
                <w:color w:val="C8A84B"/>
                <w:sz w:val="22"/>
                <w:szCs w:val="22"/>
              </w:rPr>
              <w:t xml:space="preserve">Intelligent Enterprise Solutions</w:t>
            </w:r>
          </w:p>
        </w:tc>
      </w:tr>
    </w:tbl>
    <w:p>
      <w:pPr>
        <w:spacing w:after="0" w:before="500"/>
      </w:pPr>
      <w:r>
        <w:t xml:space="preserve"/>
      </w:r>
    </w:p>
    <w:p>
      <w:pPr>
        <w:jc w:val="center"/>
      </w:pPr>
      <w:r>
        <w:rPr>
          <w:rFonts w:ascii="Arial" w:cs="Arial" w:eastAsia="Arial" w:hAnsi="Arial"/>
          <w:b/>
          <w:bCs/>
          <w:caps/>
          <w:color w:val="0A7EA4"/>
          <w:sz w:val="20"/>
          <w:szCs w:val="20"/>
        </w:rPr>
        <w:t xml:space="preserve">CASE STUDY WHITEPAPER</w:t>
      </w:r>
    </w:p>
    <w:p>
      <w:pPr>
        <w:spacing w:after="0" w:before="120"/>
      </w:pPr>
      <w:r>
        <w:t xml:space="preserve"/>
      </w:r>
    </w:p>
    <w:p>
      <w:pPr>
        <w:spacing w:after="120" w:before="0"/>
        <w:jc w:val="center"/>
      </w:pPr>
      <w:r>
        <w:rPr>
          <w:rFonts w:ascii="Arial" w:cs="Arial" w:eastAsia="Arial" w:hAnsi="Arial"/>
          <w:b/>
          <w:bCs/>
          <w:color w:val="0D2B4E"/>
          <w:sz w:val="56"/>
          <w:szCs w:val="56"/>
        </w:rPr>
        <w:t xml:space="preserve">Enterprise FinOps</w:t>
      </w:r>
    </w:p>
    <w:p>
      <w:pPr>
        <w:spacing w:after="120" w:before="0"/>
        <w:jc w:val="center"/>
      </w:pPr>
      <w:r>
        <w:rPr>
          <w:rFonts w:ascii="Arial" w:cs="Arial" w:eastAsia="Arial" w:hAnsi="Arial"/>
          <w:b/>
          <w:bCs/>
          <w:color w:val="0D2B4E"/>
          <w:sz w:val="56"/>
          <w:szCs w:val="56"/>
        </w:rPr>
        <w:t xml:space="preserve">Agentic AI Platform</w:t>
      </w:r>
    </w:p>
    <w:p>
      <w:pPr>
        <w:spacing w:after="0" w:before="80"/>
      </w:pPr>
      <w:r>
        <w:t xml:space="preserve"/>
      </w:r>
    </w:p>
    <w:p>
      <w:pPr>
        <w:jc w:val="center"/>
      </w:pPr>
      <w:r>
        <w:rPr>
          <w:rFonts w:ascii="Arial" w:cs="Arial" w:eastAsia="Arial" w:hAnsi="Arial"/>
          <w:i/>
          <w:iCs/>
          <w:color w:val="5A6370"/>
          <w:sz w:val="24"/>
          <w:szCs w:val="24"/>
        </w:rPr>
        <w:t xml:space="preserve">Conversational Cloud Cost Intelligence with Knowledge Graphs,</w:t>
      </w:r>
    </w:p>
    <w:p>
      <w:pPr>
        <w:jc w:val="center"/>
      </w:pPr>
      <w:r>
        <w:rPr>
          <w:rFonts w:ascii="Arial" w:cs="Arial" w:eastAsia="Arial" w:hAnsi="Arial"/>
          <w:i/>
          <w:iCs/>
          <w:color w:val="5A6370"/>
          <w:sz w:val="24"/>
          <w:szCs w:val="24"/>
        </w:rPr>
        <w:t xml:space="preserve">Multi-Agent Orchestration &amp; Semantic AI</w:t>
      </w:r>
    </w:p>
    <w:p>
      <w:pPr>
        <w:spacing w:after="0" w:before="300"/>
      </w:pPr>
      <w:r>
        <w:t xml:space="preserve"/>
      </w:r>
    </w:p>
    <w:p>
      <w:pPr>
        <w:pBdr>
          <w:bottom w:val="single" w:color="C8A84B" w:sz="6"/>
        </w:pBdr>
        <w:jc w:val="center"/>
      </w:pPr>
      <w:r>
        <w:t xml:space="preserve"/>
      </w:r>
    </w:p>
    <w:p>
      <w:pPr>
        <w:spacing w:after="0" w:before="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color="FFFFFF" w:sz="0"/>
              <w:left w:val="none" w:color="FFFFFF" w:sz="0"/>
              <w:bottom w:val="none" w:color="FFFFFF" w:sz="0"/>
              <w:right w:val="none" w:color="FFFFFF" w:sz="0"/>
            </w:tcBorders>
          </w:tcPr>
          <w:p>
            <w:r>
              <w:rPr>
                <w:rFonts w:ascii="Arial" w:cs="Arial" w:eastAsia="Arial" w:hAnsi="Arial"/>
                <w:b/>
                <w:bCs/>
                <w:color w:val="5A6370"/>
                <w:sz w:val="18"/>
                <w:szCs w:val="18"/>
              </w:rPr>
              <w:t xml:space="preserve">Domain</w:t>
            </w:r>
          </w:p>
          <w:p>
            <w:r>
              <w:rPr>
                <w:rFonts w:ascii="Arial" w:cs="Arial" w:eastAsia="Arial" w:hAnsi="Arial"/>
                <w:color w:val="0D2B4E"/>
                <w:sz w:val="21"/>
                <w:szCs w:val="21"/>
              </w:rPr>
              <w:t xml:space="preserve">Cloud FinOps  |  Agentic AI</w:t>
            </w:r>
          </w:p>
          <w:p>
            <w:pPr>
              <w:spacing w:after="0" w:before="80"/>
            </w:pPr>
            <w:r>
              <w:t xml:space="preserve"/>
            </w:r>
          </w:p>
          <w:p>
            <w:r>
              <w:rPr>
                <w:rFonts w:ascii="Arial" w:cs="Arial" w:eastAsia="Arial" w:hAnsi="Arial"/>
                <w:b/>
                <w:bCs/>
                <w:color w:val="5A6370"/>
                <w:sz w:val="18"/>
                <w:szCs w:val="18"/>
              </w:rPr>
              <w:t xml:space="preserve">Authored By</w:t>
            </w:r>
          </w:p>
          <w:p>
            <w:r>
              <w:rPr>
                <w:rFonts w:ascii="Arial" w:cs="Arial" w:eastAsia="Arial" w:hAnsi="Arial"/>
                <w:color w:val="0D2B4E"/>
                <w:sz w:val="21"/>
                <w:szCs w:val="21"/>
              </w:rPr>
              <w:t xml:space="preserve">Abhigya AI Lab</w:t>
            </w:r>
          </w:p>
        </w:tc>
        <w:tc>
          <w:tcPr>
            <w:tcW w:type="dxa" w:w="5400"/>
            <w:tcBorders>
              <w:top w:val="none" w:color="FFFFFF" w:sz="0"/>
              <w:left w:val="none" w:color="FFFFFF" w:sz="0"/>
              <w:bottom w:val="none" w:color="FFFFFF" w:sz="0"/>
              <w:right w:val="none" w:color="FFFFFF" w:sz="0"/>
            </w:tcBorders>
          </w:tcPr>
          <w:p>
            <w:r>
              <w:rPr>
                <w:rFonts w:ascii="Arial" w:cs="Arial" w:eastAsia="Arial" w:hAnsi="Arial"/>
                <w:b/>
                <w:bCs/>
                <w:color w:val="5A6370"/>
                <w:sz w:val="18"/>
                <w:szCs w:val="18"/>
              </w:rPr>
              <w:t xml:space="preserve">Classification</w:t>
            </w:r>
          </w:p>
          <w:p>
            <w:r>
              <w:rPr>
                <w:rFonts w:ascii="Arial" w:cs="Arial" w:eastAsia="Arial" w:hAnsi="Arial"/>
                <w:color w:val="0D2B4E"/>
                <w:sz w:val="21"/>
                <w:szCs w:val="21"/>
              </w:rPr>
              <w:t xml:space="preserve">Public — Portfolio Reference</w:t>
            </w:r>
          </w:p>
          <w:p>
            <w:pPr>
              <w:spacing w:after="0" w:before="80"/>
            </w:pPr>
            <w:r>
              <w:t xml:space="preserve"/>
            </w:r>
          </w:p>
          <w:p>
            <w:r>
              <w:rPr>
                <w:rFonts w:ascii="Arial" w:cs="Arial" w:eastAsia="Arial" w:hAnsi="Arial"/>
                <w:b/>
                <w:bCs/>
                <w:color w:val="5A6370"/>
                <w:sz w:val="18"/>
                <w:szCs w:val="18"/>
              </w:rPr>
              <w:t xml:space="preserve">Website</w:t>
            </w:r>
          </w:p>
          <w:p>
            <w:r>
              <w:rPr>
                <w:rFonts w:ascii="Arial" w:cs="Arial" w:eastAsia="Arial" w:hAnsi="Arial"/>
                <w:color w:val="0A7EA4"/>
                <w:sz w:val="21"/>
                <w:szCs w:val="21"/>
              </w:rPr>
              <w:t xml:space="preserve">abhigyaailab.github.io</w:t>
            </w:r>
          </w:p>
        </w:tc>
      </w:tr>
    </w:tbl>
    <w:p>
      <w:r>
        <w:br w:type="page"/>
      </w:r>
    </w:p>
    <w:p>
      <w:pPr>
        <w:pStyle w:val="Heading1"/>
        <w:spacing w:after="120" w:before="360"/>
      </w:pPr>
      <w:r>
        <w:rPr>
          <w:rFonts w:ascii="Arial" w:cs="Arial" w:eastAsia="Arial" w:hAnsi="Arial"/>
          <w:b/>
          <w:bCs/>
          <w:color w:val="0D2B4E"/>
          <w:sz w:val="36"/>
          <w:szCs w:val="36"/>
        </w:rPr>
        <w:t xml:space="preserve">1. Executive Summary</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exponential growth of multi-cloud adoption has transformed cloud billing from a simple line-item expense into a strategic business intelligence challenge. Modern enterprises operating across AWS, Azure, and Google Cloud routinely encounter billing datasets spanning hundreds of millions of records, inconsistent taxonomy across providers, and cost allocation structures that resist standard BI tooling.</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This whitepaper documents the architecture, design philosophy, and delivery of the Enterprise FinOps Agentic AI Platform — a flagship solution developed at Abhigya AI Lab. The platform transforms cloud cost data into a conversational, semantically-rich intelligence layer that enables engineering leaders, finance teams, and FinOps practitioners to ask complex business questions in natural language and receive accurate, explainable answers backed by structured enterprise knowledge.</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Rather than building yet another dashboard, this project pioneered a reasoning-first approach by integrating five complementary AI technologies: Enterprise Knowledge Graphs, Ontology-driven Semantic Modeling, Retrieval-Augmented Generation (RAG), Multi-Agent Orchestration, and Text-to-SQL Generation — all governed by a rigorous validation and explainability layer.</w:t>
      </w:r>
    </w:p>
    <w:p>
      <w:pPr>
        <w:spacing w:after="0" w:before="120"/>
      </w:pPr>
      <w:r>
        <w:t xml:space="preserve"/>
      </w:r>
    </w:p>
    <w:tbl>
      <w:tblPr>
        <w:tblW w:type="dxa" w:w="10800"/>
        <w:tblBorders>
          <w:top w:val="none" w:color="FFFFFF" w:sz="0"/>
          <w:left w:val="single" w:color="0A7EA4"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PLATFORM AT A GLANCE</w:t>
            </w:r>
          </w:p>
          <w:p>
            <w:pPr>
              <w:spacing w:before="40"/>
            </w:pPr>
            <w:r>
              <w:rPr>
                <w:rFonts w:ascii="Arial" w:cs="Arial" w:eastAsia="Arial" w:hAnsi="Arial"/>
                <w:color w:val="2C2C2C"/>
                <w:sz w:val="20"/>
                <w:szCs w:val="20"/>
              </w:rPr>
              <w:t xml:space="preserve">Natural language interface to cloud billing data across multi-cloud environments. Combines Knowledge Graphs, Multi-Agent AI, Semantic Ontology, and Hybrid RAG to deliver explainable, production-grade FinOps intelligence.</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2. Business Challenge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Cloud cost management has quietly become one of the most technically demanding and organizationally complex problems facing modern enterprises. While cloud providers offer native billing consoles, and third-party tools like CloudHealth or Apptio provide dashboards, they share a fundamental limitation: they answer predefined questions, not the questions businesses actually need to ask.</w:t>
      </w:r>
    </w:p>
    <w:p>
      <w:pPr>
        <w:spacing w:after="0" w:before="80"/>
      </w:pPr>
      <w:r>
        <w:t xml:space="preserve"/>
      </w:r>
    </w:p>
    <w:p>
      <w:pPr>
        <w:pStyle w:val="Heading2"/>
        <w:spacing w:after="80" w:before="280"/>
      </w:pPr>
      <w:r>
        <w:rPr>
          <w:rFonts w:ascii="Arial" w:cs="Arial" w:eastAsia="Arial" w:hAnsi="Arial"/>
          <w:b/>
          <w:bCs/>
          <w:color w:val="0A7EA4"/>
          <w:sz w:val="26"/>
          <w:szCs w:val="26"/>
        </w:rPr>
        <w:t xml:space="preserve">2.1  The Problem Landscape</w:t>
      </w:r>
    </w:p>
    <w:p>
      <w:pPr>
        <w:spacing w:after="100" w:before="60"/>
      </w:pPr>
      <w:r>
        <w:rPr>
          <w:rFonts w:ascii="Arial" w:cs="Arial" w:eastAsia="Arial" w:hAnsi="Arial"/>
          <w:b w:val="false"/>
          <w:bCs w:val="false"/>
          <w:i w:val="false"/>
          <w:iCs w:val="false"/>
          <w:color w:val="2C2C2C"/>
          <w:sz w:val="21"/>
          <w:szCs w:val="21"/>
        </w:rPr>
        <w:t xml:space="preserve">The challenge spans several intersecting dimensions:</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Multi-Cloud Fragmentation: AWS, Azure, and GCP each use distinct billing schemas, service naming conventions, and cost allocation taxonomies. Consolidating this data requires semantic normalization that goes beyond ETL.</w:t>
      </w:r>
    </w:p>
    <w:p>
      <w:pPr>
        <w:pStyle w:val="ListParagraph"/>
        <w:numPr>
          <w:ilvl w:val="0"/>
          <w:numId w:val="2"/>
        </w:numPr>
        <w:spacing w:after="40" w:before="40"/>
      </w:pPr>
      <w:r>
        <w:rPr>
          <w:rFonts w:ascii="Arial" w:cs="Arial" w:eastAsia="Arial" w:hAnsi="Arial"/>
          <w:color w:val="2C2C2C"/>
          <w:sz w:val="21"/>
          <w:szCs w:val="21"/>
        </w:rPr>
        <w:t xml:space="preserve">Semantic Gap: Engineering teams speak in terms of 'services', 'workloads', and 'teams'; billing data is organized around SKUs, resource IDs, and billing accounts. Bridging this gap requires ontological modeling, not just joins.</w:t>
      </w:r>
    </w:p>
    <w:p>
      <w:pPr>
        <w:pStyle w:val="ListParagraph"/>
        <w:numPr>
          <w:ilvl w:val="0"/>
          <w:numId w:val="2"/>
        </w:numPr>
        <w:spacing w:after="40" w:before="40"/>
      </w:pPr>
      <w:r>
        <w:rPr>
          <w:rFonts w:ascii="Arial" w:cs="Arial" w:eastAsia="Arial" w:hAnsi="Arial"/>
          <w:color w:val="2C2C2C"/>
          <w:sz w:val="21"/>
          <w:szCs w:val="21"/>
        </w:rPr>
        <w:t xml:space="preserve">Scale: Enterprise billing datasets routinely exceed 500 million rows per month. Standard query engines struggle; semantic query generation must be precision-optimized to avoid table scans.</w:t>
      </w:r>
    </w:p>
    <w:p>
      <w:pPr>
        <w:pStyle w:val="ListParagraph"/>
        <w:numPr>
          <w:ilvl w:val="0"/>
          <w:numId w:val="2"/>
        </w:numPr>
        <w:spacing w:after="40" w:before="40"/>
      </w:pPr>
      <w:r>
        <w:rPr>
          <w:rFonts w:ascii="Arial" w:cs="Arial" w:eastAsia="Arial" w:hAnsi="Arial"/>
          <w:color w:val="2C2C2C"/>
          <w:sz w:val="21"/>
          <w:szCs w:val="21"/>
        </w:rPr>
        <w:t xml:space="preserve">Explainability Deficit: When a dashboard shows a 34% spike in compute costs, it cannot explain why — which service, which team, which architectural decision caused it.</w:t>
      </w:r>
    </w:p>
    <w:p>
      <w:pPr>
        <w:pStyle w:val="ListParagraph"/>
        <w:numPr>
          <w:ilvl w:val="0"/>
          <w:numId w:val="2"/>
        </w:numPr>
        <w:spacing w:after="40" w:before="40"/>
      </w:pPr>
      <w:r>
        <w:rPr>
          <w:rFonts w:ascii="Arial" w:cs="Arial" w:eastAsia="Arial" w:hAnsi="Arial"/>
          <w:color w:val="2C2C2C"/>
          <w:sz w:val="21"/>
          <w:szCs w:val="21"/>
        </w:rPr>
        <w:t xml:space="preserve">Organizational Complexity: Cost allocation across business units, product lines, environments (dev/staging/prod), and shared services requires context that no single database table encodes.</w:t>
      </w:r>
    </w:p>
    <w:p>
      <w:pPr>
        <w:spacing w:after="0" w:before="100"/>
      </w:pPr>
      <w:r>
        <w:t xml:space="preserve"/>
      </w:r>
    </w:p>
    <w:p>
      <w:pPr>
        <w:pStyle w:val="Heading2"/>
        <w:spacing w:after="80" w:before="280"/>
      </w:pPr>
      <w:r>
        <w:rPr>
          <w:rFonts w:ascii="Arial" w:cs="Arial" w:eastAsia="Arial" w:hAnsi="Arial"/>
          <w:b/>
          <w:bCs/>
          <w:color w:val="0A7EA4"/>
          <w:sz w:val="26"/>
          <w:szCs w:val="26"/>
        </w:rPr>
        <w:t xml:space="preserve">2.2  Representative Business Questions</w:t>
      </w:r>
    </w:p>
    <w:p>
      <w:pPr>
        <w:spacing w:after="100" w:before="60"/>
      </w:pPr>
      <w:r>
        <w:rPr>
          <w:rFonts w:ascii="Arial" w:cs="Arial" w:eastAsia="Arial" w:hAnsi="Arial"/>
          <w:b w:val="false"/>
          <w:bCs w:val="false"/>
          <w:i w:val="false"/>
          <w:iCs w:val="false"/>
          <w:color w:val="2C2C2C"/>
          <w:sz w:val="21"/>
          <w:szCs w:val="21"/>
        </w:rPr>
        <w:t xml:space="preserve">The platform was specifically designed to answer questions that traditional tools cannot:</w:t>
      </w:r>
    </w:p>
    <w:p>
      <w:pPr>
        <w:spacing w:after="0" w:before="6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0A7EA4" w:sz="1"/>
              <w:left w:val="single" w:color="0A7EA4" w:sz="1"/>
              <w:bottom w:val="single" w:color="0A7EA4" w:sz="1"/>
              <w:right w:val="single" w:color="0A7EA4"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5400"/>
            <w:tcBorders>
              <w:top w:val="single" w:color="0A7EA4" w:sz="1"/>
              <w:left w:val="single" w:color="0A7EA4" w:sz="1"/>
              <w:bottom w:val="single" w:color="0A7EA4" w:sz="1"/>
              <w:right w:val="single" w:color="0A7EA4"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Example Query</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0D2B4E"/>
                <w:sz w:val="20"/>
                <w:szCs w:val="20"/>
              </w:rPr>
              <w:t xml:space="preserve">Cost Spike Analysis</w:t>
            </w:r>
          </w:p>
        </w:tc>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i/>
                <w:iCs/>
                <w:color w:val="2C2C2C"/>
                <w:sz w:val="20"/>
                <w:szCs w:val="20"/>
              </w:rPr>
              <w:t xml:space="preserve">Why did our EC2 costs increase 40% in Q3 compared to Q2?</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B4E"/>
                <w:sz w:val="20"/>
                <w:szCs w:val="20"/>
              </w:rPr>
              <w:t xml:space="preserve">Budget Compliance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Which business unit exceeded its allocated cloud budget this month?</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0D2B4E"/>
                <w:sz w:val="20"/>
                <w:szCs w:val="20"/>
              </w:rPr>
              <w:t xml:space="preserve">Resource Efficiency</w:t>
            </w:r>
          </w:p>
        </w:tc>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i/>
                <w:iCs/>
                <w:color w:val="2C2C2C"/>
                <w:sz w:val="20"/>
                <w:szCs w:val="20"/>
              </w:rPr>
              <w:t xml:space="preserve">What are our top 20 idle or underutilized RDS instances by wasted spend?</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B4E"/>
                <w:sz w:val="20"/>
                <w:szCs w:val="20"/>
              </w:rPr>
              <w:t xml:space="preserve">Cross-Cloud Comparison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Compare our compute unit costs across AWS and Azure for the Data Platform team.</w:t>
            </w:r>
          </w:p>
        </w:tc>
      </w:tr>
      <w:tr>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0D2B4E"/>
                <w:sz w:val="20"/>
                <w:szCs w:val="20"/>
              </w:rPr>
              <w:t xml:space="preserve">Optimization</w:t>
            </w:r>
          </w:p>
        </w:tc>
        <w:tc>
          <w:tcPr>
            <w:tcW w:type="dxa" w:w="5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i/>
                <w:iCs/>
                <w:color w:val="2C2C2C"/>
                <w:sz w:val="20"/>
                <w:szCs w:val="20"/>
              </w:rPr>
              <w:t xml:space="preserve">What are the top 5 actions we can take to reduce cloud spend by 15% next quarter?</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B4E"/>
                <w:sz w:val="20"/>
                <w:szCs w:val="20"/>
              </w:rPr>
              <w:t xml:space="preserve">Allocation Accuracy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i/>
                <w:iCs/>
                <w:color w:val="2C2C2C"/>
                <w:sz w:val="20"/>
                <w:szCs w:val="20"/>
              </w:rPr>
              <w:t xml:space="preserve">How much of our shared Kubernetes cluster cost is attributable to the Payments service?</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3. Project Objectives</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platform was scoped against seven core engineering and business objectives:</w:t>
      </w:r>
    </w:p>
    <w:p>
      <w:pPr>
        <w:spacing w:after="0" w:before="80"/>
      </w:pPr>
      <w:r>
        <w:t xml:space="preserve"/>
      </w:r>
    </w:p>
    <w:p>
      <w:pPr>
        <w:pStyle w:val="ListParagraph"/>
        <w:numPr>
          <w:ilvl w:val="0"/>
          <w:numId w:val="2"/>
        </w:numPr>
        <w:spacing w:after="40" w:before="40"/>
      </w:pPr>
      <w:r>
        <w:rPr>
          <w:rFonts w:ascii="Arial" w:cs="Arial" w:eastAsia="Arial" w:hAnsi="Arial"/>
          <w:color w:val="2C2C2C"/>
          <w:sz w:val="21"/>
          <w:szCs w:val="21"/>
        </w:rPr>
        <w:t xml:space="preserve">Natural Language Interface: Enable any stakeholder — technical or non-technical — to query cloud billing data without knowing SQL, schema names, or data structures.</w:t>
      </w:r>
    </w:p>
    <w:p>
      <w:pPr>
        <w:pStyle w:val="ListParagraph"/>
        <w:numPr>
          <w:ilvl w:val="0"/>
          <w:numId w:val="2"/>
        </w:numPr>
        <w:spacing w:after="40" w:before="40"/>
      </w:pPr>
      <w:r>
        <w:rPr>
          <w:rFonts w:ascii="Arial" w:cs="Arial" w:eastAsia="Arial" w:hAnsi="Arial"/>
          <w:color w:val="2C2C2C"/>
          <w:sz w:val="21"/>
          <w:szCs w:val="21"/>
        </w:rPr>
        <w:t xml:space="preserve">Semantic Accuracy: Ensure that business terminology is correctly resolved to underlying data structures through a governed ontological semantic layer, not prompt engineering alone.</w:t>
      </w:r>
    </w:p>
    <w:p>
      <w:pPr>
        <w:pStyle w:val="ListParagraph"/>
        <w:numPr>
          <w:ilvl w:val="0"/>
          <w:numId w:val="2"/>
        </w:numPr>
        <w:spacing w:after="40" w:before="40"/>
      </w:pPr>
      <w:r>
        <w:rPr>
          <w:rFonts w:ascii="Arial" w:cs="Arial" w:eastAsia="Arial" w:hAnsi="Arial"/>
          <w:color w:val="2C2C2C"/>
          <w:sz w:val="21"/>
          <w:szCs w:val="21"/>
        </w:rPr>
        <w:t xml:space="preserve">Explainability by Design: Every AI-generated answer must be accompanied by traceable supporting evidence — the metadata, relationships, and data rows that informed it.</w:t>
      </w:r>
    </w:p>
    <w:p>
      <w:pPr>
        <w:pStyle w:val="ListParagraph"/>
        <w:numPr>
          <w:ilvl w:val="0"/>
          <w:numId w:val="2"/>
        </w:numPr>
        <w:spacing w:after="40" w:before="40"/>
      </w:pPr>
      <w:r>
        <w:rPr>
          <w:rFonts w:ascii="Arial" w:cs="Arial" w:eastAsia="Arial" w:hAnsi="Arial"/>
          <w:color w:val="2C2C2C"/>
          <w:sz w:val="21"/>
          <w:szCs w:val="21"/>
        </w:rPr>
        <w:t xml:space="preserve">Multi-Cloud Support: Abstract over AWS, Azure, and GCP billing schemas into a unified enterprise data model aligned with the FinOps Open Cost and Usage Specification (FOCUS).</w:t>
      </w:r>
    </w:p>
    <w:p>
      <w:pPr>
        <w:pStyle w:val="ListParagraph"/>
        <w:numPr>
          <w:ilvl w:val="0"/>
          <w:numId w:val="2"/>
        </w:numPr>
        <w:spacing w:after="40" w:before="40"/>
      </w:pPr>
      <w:r>
        <w:rPr>
          <w:rFonts w:ascii="Arial" w:cs="Arial" w:eastAsia="Arial" w:hAnsi="Arial"/>
          <w:color w:val="2C2C2C"/>
          <w:sz w:val="21"/>
          <w:szCs w:val="21"/>
        </w:rPr>
        <w:t xml:space="preserve">Modular Architecture: Design for extensibility. The platform must support new data sources, new agents, and new capabilities without architectural rework.</w:t>
      </w:r>
    </w:p>
    <w:p>
      <w:pPr>
        <w:pStyle w:val="ListParagraph"/>
        <w:numPr>
          <w:ilvl w:val="0"/>
          <w:numId w:val="2"/>
        </w:numPr>
        <w:spacing w:after="40" w:before="40"/>
      </w:pPr>
      <w:r>
        <w:rPr>
          <w:rFonts w:ascii="Arial" w:cs="Arial" w:eastAsia="Arial" w:hAnsi="Arial"/>
          <w:color w:val="2C2C2C"/>
          <w:sz w:val="21"/>
          <w:szCs w:val="21"/>
        </w:rPr>
        <w:t xml:space="preserve">Production Reliability: Implement validation guardrails that catch and correct LLM-generated SQL errors before execution against billing databases, ensuring zero incorrect charges or data corruption.</w:t>
      </w:r>
    </w:p>
    <w:p>
      <w:pPr>
        <w:pStyle w:val="ListParagraph"/>
        <w:numPr>
          <w:ilvl w:val="0"/>
          <w:numId w:val="2"/>
        </w:numPr>
        <w:spacing w:after="40" w:before="40"/>
      </w:pPr>
      <w:r>
        <w:rPr>
          <w:rFonts w:ascii="Arial" w:cs="Arial" w:eastAsia="Arial" w:hAnsi="Arial"/>
          <w:color w:val="2C2C2C"/>
          <w:sz w:val="21"/>
          <w:szCs w:val="21"/>
        </w:rPr>
        <w:t xml:space="preserve">Reusable Enterprise Foundation: Architect the system as a reference implementation applicable to domains beyond FinOps — procurement, HR analytics, supply chain — wherever enterprise semantic reasoning is needed.</w:t>
      </w:r>
    </w:p>
    <w:p>
      <w:pPr>
        <w:spacing w:after="0" w:before="200"/>
      </w:pPr>
      <w:r>
        <w:t xml:space="preserve"/>
      </w:r>
    </w:p>
    <w:p>
      <w:pPr>
        <w:pStyle w:val="Heading1"/>
        <w:spacing w:after="120" w:before="360"/>
      </w:pPr>
      <w:r>
        <w:rPr>
          <w:rFonts w:ascii="Arial" w:cs="Arial" w:eastAsia="Arial" w:hAnsi="Arial"/>
          <w:b/>
          <w:bCs/>
          <w:color w:val="0D2B4E"/>
          <w:sz w:val="36"/>
          <w:szCs w:val="36"/>
        </w:rPr>
        <w:t xml:space="preserve">4. Solution Overview</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Enterprise FinOps Agentic AI Platform is not a chatbot bolted onto a database. It is a layered AI reasoning system that separates the concerns of understanding (what does this question mean in our business context?) from execution (how do we retrieve the answer from data?) from communication (how do we explain the result?).</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This separation is the architectural insight that makes the platform reliable. When these concerns are conflated — as in naïve LLM-to-SQL approaches — accuracy degrades on ambiguous questions, hallucinations proliferate on missing context, and explainability is impossible.</w:t>
      </w:r>
    </w:p>
    <w:p>
      <w:pPr>
        <w:spacing w:after="0" w:before="120"/>
      </w:pPr>
      <w:r>
        <w:t xml:space="preserve"/>
      </w:r>
    </w:p>
    <w:tbl>
      <w:tblPr>
        <w:tblW w:type="dxa" w:w="10800"/>
        <w:tblBorders>
          <w:top w:val="none" w:color="FFFFFF" w:sz="0"/>
          <w:left w:val="single" w:color="C8A84B"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C8A84B" w:val="clear"/>
          </w:tcPr>
          <w:p>
            <w:r>
              <w:t xml:space="preserve"/>
            </w:r>
          </w:p>
        </w:tc>
        <w:tc>
          <w:tcPr>
            <w:tcW w:type="dxa" w:w="10584"/>
            <w:tcBorders>
              <w:top w:val="none" w:color="FFFFFF" w:sz="0"/>
              <w:left w:val="none" w:color="FFFFFF" w:sz="0"/>
              <w:bottom w:val="none" w:color="FFFFFF" w:sz="0"/>
              <w:right w:val="none" w:color="FFFFFF" w:sz="0"/>
            </w:tcBorders>
            <w:shd w:fill="FDF6E3" w:val="clear"/>
            <w:tcMar>
              <w:top w:type="dxa" w:w="100"/>
              <w:left w:type="dxa" w:w="180"/>
              <w:bottom w:type="dxa" w:w="100"/>
              <w:right w:type="dxa" w:w="180"/>
            </w:tcMar>
          </w:tcPr>
          <w:p>
            <w:r>
              <w:rPr>
                <w:rFonts w:ascii="Arial" w:cs="Arial" w:eastAsia="Arial" w:hAnsi="Arial"/>
                <w:b/>
                <w:bCs/>
                <w:color w:val="C8A84B"/>
                <w:sz w:val="20"/>
                <w:szCs w:val="20"/>
              </w:rPr>
              <w:t xml:space="preserve">ARCHITECTURAL PHILOSOPHY</w:t>
            </w:r>
          </w:p>
          <w:p>
            <w:pPr>
              <w:spacing w:before="40"/>
            </w:pPr>
            <w:r>
              <w:rPr>
                <w:rFonts w:ascii="Arial" w:cs="Arial" w:eastAsia="Arial" w:hAnsi="Arial"/>
                <w:color w:val="2C2C2C"/>
                <w:sz w:val="20"/>
                <w:szCs w:val="20"/>
              </w:rPr>
              <w:t xml:space="preserve">Semantic understanding must precede data retrieval. The platform resolves business intent through structured enterprise knowledge before generating a single line of SQL — a pattern we call Semantics-First Agentic AI.</w:t>
            </w:r>
          </w:p>
        </w:tc>
      </w:tr>
    </w:tbl>
    <w:p>
      <w:pPr>
        <w:spacing w:after="0" w:before="160"/>
      </w:pPr>
      <w:r>
        <w:t xml:space="preserve"/>
      </w:r>
    </w:p>
    <w:p>
      <w:pPr>
        <w:pStyle w:val="Heading2"/>
        <w:spacing w:after="80" w:before="280"/>
      </w:pPr>
      <w:r>
        <w:rPr>
          <w:rFonts w:ascii="Arial" w:cs="Arial" w:eastAsia="Arial" w:hAnsi="Arial"/>
          <w:b/>
          <w:bCs/>
          <w:color w:val="0A7EA4"/>
          <w:sz w:val="26"/>
          <w:szCs w:val="26"/>
        </w:rPr>
        <w:t xml:space="preserve">4.1  Five Integrated Capability Layers</w:t>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168"/>
        <w:gridCol w:w="7632"/>
      </w:tblGrid>
      <w:tr>
        <w:tc>
          <w:tcPr>
            <w:tcW w:type="dxa" w:w="3168"/>
            <w:tcBorders>
              <w:top w:val="single" w:color="0A7EA4" w:sz="1"/>
              <w:left w:val="single" w:color="0A7EA4" w:sz="1"/>
              <w:bottom w:val="single" w:color="0A7EA4" w:sz="1"/>
              <w:right w:val="single" w:color="0A7EA4"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Capability Layer</w:t>
            </w:r>
          </w:p>
        </w:tc>
        <w:tc>
          <w:tcPr>
            <w:tcW w:type="dxa" w:w="7632"/>
            <w:tcBorders>
              <w:top w:val="single" w:color="0A7EA4" w:sz="1"/>
              <w:left w:val="single" w:color="0A7EA4" w:sz="1"/>
              <w:bottom w:val="single" w:color="0A7EA4" w:sz="1"/>
              <w:right w:val="single" w:color="0A7EA4" w:sz="1"/>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Role in the Platform</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b/>
                <w:bCs/>
                <w:color w:val="0D2B4E"/>
                <w:sz w:val="20"/>
                <w:szCs w:val="20"/>
              </w:rPr>
              <w:t xml:space="preserve">Enterprise Knowledge Graph</w:t>
            </w:r>
          </w:p>
        </w:tc>
        <w:tc>
          <w:tcPr>
            <w:tcW w:type="dxa" w:w="7632"/>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color w:val="2C2C2C"/>
                <w:sz w:val="20"/>
                <w:szCs w:val="20"/>
              </w:rPr>
              <w:t xml:space="preserve">Encodes the relationships between cloud resources, accounts, teams, services, and cost allocations as a queryable semantic network (Neo4j / RDF/OWL).</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B4E"/>
                <w:sz w:val="20"/>
                <w:szCs w:val="20"/>
              </w:rPr>
              <w:t xml:space="preserve">Ontology-Driven Semantic Layer</w:t>
            </w:r>
          </w:p>
        </w:tc>
        <w:tc>
          <w:tcPr>
            <w:tcW w:type="dxa" w:w="76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Maps natural language business terms to database schema elements through a domain ontology aligned to FinOps FOCUS specification.</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b/>
                <w:bCs/>
                <w:color w:val="0D2B4E"/>
                <w:sz w:val="20"/>
                <w:szCs w:val="20"/>
              </w:rPr>
              <w:t xml:space="preserve">Hybrid RAG Engine</w:t>
            </w:r>
          </w:p>
        </w:tc>
        <w:tc>
          <w:tcPr>
            <w:tcW w:type="dxa" w:w="7632"/>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color w:val="2C2C2C"/>
                <w:sz w:val="20"/>
                <w:szCs w:val="20"/>
              </w:rPr>
              <w:t xml:space="preserve">Combines knowledge graph traversal, vector similarity search, and metadata enrichment to retrieve precisely relevant context for each query.</w:t>
            </w:r>
          </w:p>
        </w:tc>
      </w:tr>
      <w:tr>
        <w:tc>
          <w:tcPr>
            <w:tcW w:type="dxa" w:w="316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0D2B4E"/>
                <w:sz w:val="20"/>
                <w:szCs w:val="20"/>
              </w:rPr>
              <w:t xml:space="preserve">Multi-Agent Orchestration</w:t>
            </w:r>
          </w:p>
        </w:tc>
        <w:tc>
          <w:tcPr>
            <w:tcW w:type="dxa" w:w="763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A directed graph of specialized AI agents (LangGraph) handles intent, planning, retrieval, SQL generation, validation, and insight synthesis independently.</w:t>
            </w:r>
          </w:p>
        </w:tc>
      </w:tr>
      <w:tr>
        <w:tc>
          <w:tcPr>
            <w:tcW w:type="dxa" w:w="3168"/>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b/>
                <w:bCs/>
                <w:color w:val="0D2B4E"/>
                <w:sz w:val="20"/>
                <w:szCs w:val="20"/>
              </w:rPr>
              <w:t xml:space="preserve">Text-to-SQL + Validation</w:t>
            </w:r>
          </w:p>
        </w:tc>
        <w:tc>
          <w:tcPr>
            <w:tcW w:type="dxa" w:w="7632"/>
            <w:tcBorders>
              <w:top w:val="single" w:color="CCCCCC" w:sz="1"/>
              <w:left w:val="single" w:color="CCCCCC" w:sz="1"/>
              <w:bottom w:val="single" w:color="CCCCCC" w:sz="1"/>
              <w:right w:val="single" w:color="CCCCCC" w:sz="1"/>
            </w:tcBorders>
            <w:shd w:fill="E8F4F9" w:val="clear"/>
            <w:tcMar>
              <w:top w:type="dxa" w:w="80"/>
              <w:left w:type="dxa" w:w="140"/>
              <w:bottom w:type="dxa" w:w="80"/>
              <w:right w:type="dxa" w:w="140"/>
            </w:tcMar>
          </w:tcPr>
          <w:p>
            <w:r>
              <w:rPr>
                <w:rFonts w:ascii="Arial" w:cs="Arial" w:eastAsia="Arial" w:hAnsi="Arial"/>
                <w:color w:val="2C2C2C"/>
                <w:sz w:val="20"/>
                <w:szCs w:val="20"/>
              </w:rPr>
              <w:t xml:space="preserve">Structured prompt engineering generates schema-aware SQL, followed by a dedicated validation agent that catches and corrects errors before execution.</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5. System Architecture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platform follows a modular, agent-orchestrated architecture organized into three functional tiers: the Interaction Tier (user-facing API and interface), the Intelligence Tier (agent graph, semantic resolution, knowledge retrieval), and the Data Tier (structured billing data, vector indexes, knowledge graph).</w:t>
      </w:r>
    </w:p>
    <w:p>
      <w:pPr>
        <w:spacing w:after="0" w:before="120"/>
      </w:pPr>
      <w:r>
        <w:t xml:space="preserve"/>
      </w:r>
    </w:p>
    <w:p>
      <w:pPr>
        <w:pStyle w:val="Heading2"/>
        <w:spacing w:after="80" w:before="280"/>
      </w:pPr>
      <w:r>
        <w:rPr>
          <w:rFonts w:ascii="Arial" w:cs="Arial" w:eastAsia="Arial" w:hAnsi="Arial"/>
          <w:b/>
          <w:bCs/>
          <w:color w:val="0A7EA4"/>
          <w:sz w:val="26"/>
          <w:szCs w:val="26"/>
        </w:rPr>
        <w:t xml:space="preserve">5.1  Request Processing Flow</w:t>
      </w:r>
    </w:p>
    <w:p>
      <w:pPr>
        <w:spacing w:after="100" w:before="60"/>
      </w:pPr>
      <w:r>
        <w:rPr>
          <w:rFonts w:ascii="Arial" w:cs="Arial" w:eastAsia="Arial" w:hAnsi="Arial"/>
          <w:b w:val="false"/>
          <w:bCs w:val="false"/>
          <w:i w:val="false"/>
          <w:iCs w:val="false"/>
          <w:color w:val="2C2C2C"/>
          <w:sz w:val="21"/>
          <w:szCs w:val="21"/>
        </w:rPr>
        <w:t xml:space="preserve">Every user query passes through a deterministic agent pipeline. The following flow represents the high-level processing sequence:</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① User Natural Language Query (via API / Chat Interface)</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FFFFF"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② Intent Detection Agent  —  Classifies query type: analytical, navigational, optimization, or anomaly</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③ Semantic Resolution Layer  —  Resolves ambiguous business terms via Ontology + Knowledge Graph</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FFFFF"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④ Planner Agent  —  Decomposes complex queries into executable sub-tasks</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⑤ Metadata Retrieval Agent  —  Fetches schema context, table lineage, and entity relationships</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FFFFF"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⑥ Hybrid RAG Engine  —  Vector search + KG traversal + metadata enrichment</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⑦ Text-to-SQL Agent  —  Generates schema-aware SQL with FinOps-aligned context</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FFFFF"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⑧ SQL Validation Agent  —  Schema compliance check, semantic correctness, error correction</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⑨ Cloud Billing Database (Snowflake / PostgreSQL)  —  Query execution</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FFFFFF"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⑩ Insight Generation Agent  —  Synthesizes results into explainable business narrative</w:t>
            </w:r>
          </w:p>
        </w:tc>
      </w:tr>
      <w:tr>
        <w:tc>
          <w:tcPr>
            <w:tcW w:type="dxa" w:w="10800"/>
            <w:tcBorders>
              <w:top w:val="none" w:color="FFFFFF" w:sz="0"/>
              <w:left w:val="none" w:color="FFFFFF" w:sz="0"/>
              <w:bottom w:val="none" w:color="FFFFFF" w:sz="0"/>
              <w:right w:val="none" w:color="FFFFFF" w:sz="0"/>
            </w:tcBorders>
            <w:shd w:fill="FFFFFF" w:val="clear"/>
            <w:tcMar>
              <w:top w:type="dxa" w:w="40"/>
              <w:left w:type="dxa" w:w="200"/>
              <w:bottom w:type="dxa" w:w="40"/>
              <w:right w:type="dxa" w:w="200"/>
            </w:tcMar>
          </w:tcPr>
          <w:p>
            <w:pPr>
              <w:jc w:val="center"/>
            </w:pPr>
            <w:r>
              <w:rPr>
                <w:rFonts w:ascii="Arial" w:cs="Arial" w:eastAsia="Arial" w:hAnsi="Arial"/>
                <w:b/>
                <w:bCs/>
                <w:color w:val="0A7EA4"/>
                <w:sz w:val="20"/>
                <w:szCs w:val="20"/>
              </w:rPr>
              <w:t xml:space="preserve">▼</w:t>
            </w:r>
          </w:p>
        </w:tc>
      </w:tr>
      <w:tr>
        <w:tc>
          <w:tcPr>
            <w:tcW w:type="dxa" w:w="10800"/>
            <w:tcBorders>
              <w:top w:val="single" w:color="0A7EA4" w:sz="1"/>
              <w:left w:val="single" w:color="0A7EA4" w:sz="1"/>
              <w:bottom w:val="single" w:color="0A7EA4" w:sz="1"/>
              <w:right w:val="single" w:color="0A7EA4" w:sz="1"/>
            </w:tcBorders>
            <w:shd w:fill="E8F4F9" w:val="clear"/>
            <w:tcMar>
              <w:top w:type="dxa" w:w="80"/>
              <w:left w:type="dxa" w:w="200"/>
              <w:bottom w:type="dxa" w:w="80"/>
              <w:right w:type="dxa" w:w="200"/>
            </w:tcMar>
          </w:tcPr>
          <w:p>
            <w:pPr>
              <w:jc w:val="center"/>
            </w:pPr>
            <w:r>
              <w:rPr>
                <w:rFonts w:ascii="Arial" w:cs="Arial" w:eastAsia="Arial" w:hAnsi="Arial"/>
                <w:b/>
                <w:bCs/>
                <w:color w:val="0D2B4E"/>
                <w:sz w:val="20"/>
                <w:szCs w:val="20"/>
              </w:rPr>
              <w:t xml:space="preserve">⑪ Response with Evidence Trail  —  Answer + supporting KG relationships + data sources</w:t>
            </w:r>
          </w:p>
        </w:tc>
      </w:tr>
    </w:tbl>
    <w:p>
      <w:pPr>
        <w:spacing w:after="0" w:before="160"/>
      </w:pPr>
      <w:r>
        <w:t xml:space="preserve"/>
      </w:r>
    </w:p>
    <w:p>
      <w:pPr>
        <w:pStyle w:val="Heading2"/>
        <w:spacing w:after="80" w:before="280"/>
      </w:pPr>
      <w:r>
        <w:rPr>
          <w:rFonts w:ascii="Arial" w:cs="Arial" w:eastAsia="Arial" w:hAnsi="Arial"/>
          <w:b/>
          <w:bCs/>
          <w:color w:val="0A7EA4"/>
          <w:sz w:val="26"/>
          <w:szCs w:val="26"/>
        </w:rPr>
        <w:t xml:space="preserve">5.2  Agent Responsibility Matrix</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Each agent in the orchestration graph has a strictly bounded responsibility. This design choice — intentional narrow ownership — enables independent testing, evaluation, and replacement of agents without system-wide impact.</w:t>
      </w:r>
    </w:p>
    <w:p>
      <w:pPr>
        <w:spacing w:after="0" w:before="1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5040"/>
      </w:tblGrid>
      <w:tr>
        <w:tc>
          <w:tcPr>
            <w:tcW w:type="dxa" w:w="288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88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04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Intent Detection</w:t>
            </w:r>
          </w:p>
        </w:tc>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5A6370"/>
                <w:sz w:val="20"/>
                <w:szCs w:val="20"/>
              </w:rPr>
              <w:t xml:space="preserve">LangGraph + GPT-4o</w:t>
            </w:r>
          </w:p>
        </w:tc>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Classify query intent; determine routing path through agent graph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Semantic Resolver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OWL Ontology + Neo4j</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Map business terms to schema entities via ontological inference</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Planner</w:t>
            </w:r>
          </w:p>
        </w:tc>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5A6370"/>
                <w:sz w:val="20"/>
                <w:szCs w:val="20"/>
              </w:rPr>
              <w:t xml:space="preserve">LangGraph StateGraph</w:t>
            </w:r>
          </w:p>
        </w:tc>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Decompose multi-part queries into ordered, executable sub-tasks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Metadata Retrieval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Neo4j + Snowflake Catalog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Fetch table schemas, column descriptions, and data lineage</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RAG Engine</w:t>
            </w:r>
          </w:p>
        </w:tc>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5A6370"/>
                <w:sz w:val="20"/>
                <w:szCs w:val="20"/>
              </w:rPr>
              <w:t xml:space="preserve">PGVector + Neo4j</w:t>
            </w:r>
          </w:p>
        </w:tc>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Hybrid retrieval: vector similarity + graph traversal + metadata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Text-to-SQL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GPT-4o / Gemini Pro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Generate precise SQL queries with schema and semantic context</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SQL Validator</w:t>
            </w:r>
          </w:p>
        </w:tc>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5A6370"/>
                <w:sz w:val="20"/>
                <w:szCs w:val="20"/>
              </w:rPr>
              <w:t xml:space="preserve">LangChain + Snowflake</w:t>
            </w:r>
          </w:p>
        </w:tc>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Syntax check, schema validation, semantic correctness guardrail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Insight Generator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A6370"/>
                <w:sz w:val="20"/>
                <w:szCs w:val="20"/>
              </w:rPr>
              <w:t xml:space="preserve">GPT-4o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Transform raw query results into explainable business narrative</w:t>
            </w:r>
          </w:p>
        </w:tc>
      </w:tr>
      <w:tr>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Memory Manager</w:t>
            </w:r>
          </w:p>
        </w:tc>
        <w:tc>
          <w:tcPr>
            <w:tcW w:type="dxa" w:w="288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i/>
                <w:iCs/>
                <w:color w:val="5A6370"/>
                <w:sz w:val="20"/>
                <w:szCs w:val="20"/>
              </w:rPr>
              <w:t xml:space="preserve">LangChain Memory</w:t>
            </w:r>
          </w:p>
        </w:tc>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Maintain conversational context across multi-turn interactions</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6. Technical Highlights</w:t>
      </w:r>
    </w:p>
    <w:p>
      <w:pPr>
        <w:pBdr>
          <w:bottom w:val="single" w:color="0A7EA4" w:sz="4" w:space="1"/>
        </w:pBdr>
        <w:spacing w:after="80" w:before="80"/>
      </w:pPr>
      <w:r>
        <w:t xml:space="preserve"/>
      </w:r>
    </w:p>
    <w:p>
      <w:pPr>
        <w:pStyle w:val="Heading2"/>
        <w:spacing w:after="80" w:before="280"/>
      </w:pPr>
      <w:r>
        <w:rPr>
          <w:rFonts w:ascii="Arial" w:cs="Arial" w:eastAsia="Arial" w:hAnsi="Arial"/>
          <w:b/>
          <w:bCs/>
          <w:color w:val="0A7EA4"/>
          <w:sz w:val="26"/>
          <w:szCs w:val="26"/>
        </w:rPr>
        <w:t xml:space="preserve">6.1  Enterprise Knowledge Graph</w:t>
      </w:r>
    </w:p>
    <w:p>
      <w:pPr>
        <w:spacing w:after="100" w:before="60"/>
      </w:pPr>
      <w:r>
        <w:rPr>
          <w:rFonts w:ascii="Arial" w:cs="Arial" w:eastAsia="Arial" w:hAnsi="Arial"/>
          <w:b w:val="false"/>
          <w:bCs w:val="false"/>
          <w:i w:val="false"/>
          <w:iCs w:val="false"/>
          <w:color w:val="2C2C2C"/>
          <w:sz w:val="21"/>
          <w:szCs w:val="21"/>
        </w:rPr>
        <w:t xml:space="preserve">The knowledge graph is the semantic backbone of the platform. Built on Neo4j with an RDF/OWL representation layer, it encodes a rich network of relationships that no relational schema can express efficiently:</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Cloud resource topology: accounts → regions → services → resource instances</w:t>
      </w:r>
    </w:p>
    <w:p>
      <w:pPr>
        <w:pStyle w:val="ListParagraph"/>
        <w:numPr>
          <w:ilvl w:val="0"/>
          <w:numId w:val="2"/>
        </w:numPr>
        <w:spacing w:after="40" w:before="40"/>
      </w:pPr>
      <w:r>
        <w:rPr>
          <w:rFonts w:ascii="Arial" w:cs="Arial" w:eastAsia="Arial" w:hAnsi="Arial"/>
          <w:color w:val="2C2C2C"/>
          <w:sz w:val="21"/>
          <w:szCs w:val="21"/>
        </w:rPr>
        <w:t xml:space="preserve">Organizational hierarchy: cost centers → business units → teams → projects → environments</w:t>
      </w:r>
    </w:p>
    <w:p>
      <w:pPr>
        <w:pStyle w:val="ListParagraph"/>
        <w:numPr>
          <w:ilvl w:val="0"/>
          <w:numId w:val="2"/>
        </w:numPr>
        <w:spacing w:after="40" w:before="40"/>
      </w:pPr>
      <w:r>
        <w:rPr>
          <w:rFonts w:ascii="Arial" w:cs="Arial" w:eastAsia="Arial" w:hAnsi="Arial"/>
          <w:color w:val="2C2C2C"/>
          <w:sz w:val="21"/>
          <w:szCs w:val="21"/>
        </w:rPr>
        <w:t xml:space="preserve">Billing relationships: usage records → pricing SKUs → commitment-based discounts → chargebacks</w:t>
      </w:r>
    </w:p>
    <w:p>
      <w:pPr>
        <w:pStyle w:val="ListParagraph"/>
        <w:numPr>
          <w:ilvl w:val="0"/>
          <w:numId w:val="2"/>
        </w:numPr>
        <w:spacing w:after="40" w:before="40"/>
      </w:pPr>
      <w:r>
        <w:rPr>
          <w:rFonts w:ascii="Arial" w:cs="Arial" w:eastAsia="Arial" w:hAnsi="Arial"/>
          <w:color w:val="2C2C2C"/>
          <w:sz w:val="21"/>
          <w:szCs w:val="21"/>
        </w:rPr>
        <w:t xml:space="preserve">Service dependencies: which workloads share which infrastructure components</w:t>
      </w:r>
    </w:p>
    <w:p>
      <w:pPr>
        <w:pStyle w:val="ListParagraph"/>
        <w:numPr>
          <w:ilvl w:val="0"/>
          <w:numId w:val="2"/>
        </w:numPr>
        <w:spacing w:after="40" w:before="40"/>
      </w:pPr>
      <w:r>
        <w:rPr>
          <w:rFonts w:ascii="Arial" w:cs="Arial" w:eastAsia="Arial" w:hAnsi="Arial"/>
          <w:color w:val="2C2C2C"/>
          <w:sz w:val="21"/>
          <w:szCs w:val="21"/>
        </w:rPr>
        <w:t xml:space="preserve">Temporal relationships: versioned snapshots enabling month-over-month and quarter-over-quarter graph queries</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graph contains over 50 entity types and more than 120 relationship types, enabling multi-hop traversal queries such as: 'Find all teams whose compute costs increased &gt;20% in Q3 and are running on spot instances in us-east-1.'</w:t>
      </w:r>
    </w:p>
    <w:p>
      <w:pPr>
        <w:spacing w:after="0" w:before="120"/>
      </w:pPr>
      <w:r>
        <w:t xml:space="preserve"/>
      </w:r>
    </w:p>
    <w:p>
      <w:pPr>
        <w:pStyle w:val="Heading2"/>
        <w:spacing w:after="80" w:before="280"/>
      </w:pPr>
      <w:r>
        <w:rPr>
          <w:rFonts w:ascii="Arial" w:cs="Arial" w:eastAsia="Arial" w:hAnsi="Arial"/>
          <w:b/>
          <w:bCs/>
          <w:color w:val="0A7EA4"/>
          <w:sz w:val="26"/>
          <w:szCs w:val="26"/>
        </w:rPr>
        <w:t xml:space="preserve">6.2  Ontology-Driven Semantic Layer</w:t>
      </w:r>
    </w:p>
    <w:p>
      <w:pPr>
        <w:spacing w:after="100" w:before="60"/>
      </w:pPr>
      <w:r>
        <w:rPr>
          <w:rFonts w:ascii="Arial" w:cs="Arial" w:eastAsia="Arial" w:hAnsi="Arial"/>
          <w:b w:val="false"/>
          <w:bCs w:val="false"/>
          <w:i w:val="false"/>
          <w:iCs w:val="false"/>
          <w:color w:val="2C2C2C"/>
          <w:sz w:val="21"/>
          <w:szCs w:val="21"/>
        </w:rPr>
        <w:t xml:space="preserve">The domain ontology — designed in OWL 2 using Protégé and aligned to the FinOps FOCUS specification — serves as the authoritative translation layer between business language and data structures.</w:t>
      </w:r>
    </w:p>
    <w:p>
      <w:pPr>
        <w:spacing w:after="0" w:before="60"/>
      </w:pPr>
      <w:r>
        <w:t xml:space="preserve"/>
      </w:r>
    </w:p>
    <w:p>
      <w:pPr>
        <w:spacing w:after="100" w:before="60"/>
      </w:pPr>
      <w:r>
        <w:rPr>
          <w:rFonts w:ascii="Arial" w:cs="Arial" w:eastAsia="Arial" w:hAnsi="Arial"/>
          <w:b w:val="false"/>
          <w:bCs w:val="false"/>
          <w:i w:val="false"/>
          <w:iCs w:val="false"/>
          <w:color w:val="2C2C2C"/>
          <w:sz w:val="21"/>
          <w:szCs w:val="21"/>
        </w:rPr>
        <w:t xml:space="preserve">Key ontological constructs include:</w:t>
      </w:r>
    </w:p>
    <w:p>
      <w:pPr>
        <w:pStyle w:val="ListParagraph"/>
        <w:numPr>
          <w:ilvl w:val="0"/>
          <w:numId w:val="2"/>
        </w:numPr>
        <w:spacing w:after="40" w:before="40"/>
      </w:pPr>
      <w:r>
        <w:rPr>
          <w:rFonts w:ascii="Arial" w:cs="Arial" w:eastAsia="Arial" w:hAnsi="Arial"/>
          <w:color w:val="2C2C2C"/>
          <w:sz w:val="21"/>
          <w:szCs w:val="21"/>
        </w:rPr>
        <w:t xml:space="preserve">Class hierarchy: CloudResource, ComputeInstance, ManagedDatabase, StorageVolume, NetworkEgress, and 40+ subclasses</w:t>
      </w:r>
    </w:p>
    <w:p>
      <w:pPr>
        <w:pStyle w:val="ListParagraph"/>
        <w:numPr>
          <w:ilvl w:val="0"/>
          <w:numId w:val="2"/>
        </w:numPr>
        <w:spacing w:after="40" w:before="40"/>
      </w:pPr>
      <w:r>
        <w:rPr>
          <w:rFonts w:ascii="Arial" w:cs="Arial" w:eastAsia="Arial" w:hAnsi="Arial"/>
          <w:color w:val="2C2C2C"/>
          <w:sz w:val="21"/>
          <w:szCs w:val="21"/>
        </w:rPr>
        <w:t xml:space="preserve">Object properties: isAllocatedTo, belongsToTeam, incursCostOf, operatesIn, isReservedBy, optimizedBy</w:t>
      </w:r>
    </w:p>
    <w:p>
      <w:pPr>
        <w:pStyle w:val="ListParagraph"/>
        <w:numPr>
          <w:ilvl w:val="0"/>
          <w:numId w:val="2"/>
        </w:numPr>
        <w:spacing w:after="40" w:before="40"/>
      </w:pPr>
      <w:r>
        <w:rPr>
          <w:rFonts w:ascii="Arial" w:cs="Arial" w:eastAsia="Arial" w:hAnsi="Arial"/>
          <w:color w:val="2C2C2C"/>
          <w:sz w:val="21"/>
          <w:szCs w:val="21"/>
        </w:rPr>
        <w:t xml:space="preserve">Data properties: unitCost, usageQuantity, billingPeriod, discountRate, wasteScore</w:t>
      </w:r>
    </w:p>
    <w:p>
      <w:pPr>
        <w:pStyle w:val="ListParagraph"/>
        <w:numPr>
          <w:ilvl w:val="0"/>
          <w:numId w:val="2"/>
        </w:numPr>
        <w:spacing w:after="40" w:before="40"/>
      </w:pPr>
      <w:r>
        <w:rPr>
          <w:rFonts w:ascii="Arial" w:cs="Arial" w:eastAsia="Arial" w:hAnsi="Arial"/>
          <w:color w:val="2C2C2C"/>
          <w:sz w:val="21"/>
          <w:szCs w:val="21"/>
        </w:rPr>
        <w:t xml:space="preserve">SWRL inference rules: automated classification of 'idle resources' based on usage thresholds and billing patterns</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This ontology enables the Semantic Resolver agent to correctly interpret 'data team's database expenses last quarter' and map it to the correct combination of account IDs, service codes, billing periods, and team allocation tags — without prompt injection or manual column mapping.</w:t>
      </w:r>
    </w:p>
    <w:p>
      <w:pPr>
        <w:spacing w:after="0" w:before="120"/>
      </w:pPr>
      <w:r>
        <w:t xml:space="preserve"/>
      </w:r>
    </w:p>
    <w:p>
      <w:pPr>
        <w:pStyle w:val="Heading2"/>
        <w:spacing w:after="80" w:before="280"/>
      </w:pPr>
      <w:r>
        <w:rPr>
          <w:rFonts w:ascii="Arial" w:cs="Arial" w:eastAsia="Arial" w:hAnsi="Arial"/>
          <w:b/>
          <w:bCs/>
          <w:color w:val="0A7EA4"/>
          <w:sz w:val="26"/>
          <w:szCs w:val="26"/>
        </w:rPr>
        <w:t xml:space="preserve">6.3  Hybrid RAG Architecture</w:t>
      </w:r>
    </w:p>
    <w:p>
      <w:pPr>
        <w:spacing w:after="100" w:before="60"/>
      </w:pPr>
      <w:r>
        <w:rPr>
          <w:rFonts w:ascii="Arial" w:cs="Arial" w:eastAsia="Arial" w:hAnsi="Arial"/>
          <w:b w:val="false"/>
          <w:bCs w:val="false"/>
          <w:i w:val="false"/>
          <w:iCs w:val="false"/>
          <w:color w:val="2C2C2C"/>
          <w:sz w:val="21"/>
          <w:szCs w:val="21"/>
        </w:rPr>
        <w:t xml:space="preserve">Standard RAG architectures — chunk text, embed, retrieve by cosine similarity — are insufficient for structured enterprise data where relationships matter more than keyword proximity.</w:t>
      </w:r>
    </w:p>
    <w:p>
      <w:pPr>
        <w:spacing w:after="0" w:before="60"/>
      </w:pPr>
      <w:r>
        <w:t xml:space="preserve"/>
      </w:r>
    </w:p>
    <w:p>
      <w:pPr>
        <w:spacing w:after="100" w:before="60"/>
      </w:pPr>
      <w:r>
        <w:rPr>
          <w:rFonts w:ascii="Arial" w:cs="Arial" w:eastAsia="Arial" w:hAnsi="Arial"/>
          <w:b w:val="false"/>
          <w:bCs w:val="false"/>
          <w:i w:val="false"/>
          <w:iCs w:val="false"/>
          <w:color w:val="2C2C2C"/>
          <w:sz w:val="21"/>
          <w:szCs w:val="21"/>
        </w:rPr>
        <w:t xml:space="preserve">The platform implements a three-stage hybrid retrieval strategy:</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Stage 1 — Graph Traversal: Execute Cypher queries against the knowledge graph to identify semantically relevant entities and relationships for the incoming query.</w:t>
      </w:r>
    </w:p>
    <w:p>
      <w:pPr>
        <w:pStyle w:val="ListParagraph"/>
        <w:numPr>
          <w:ilvl w:val="0"/>
          <w:numId w:val="2"/>
        </w:numPr>
        <w:spacing w:after="40" w:before="40"/>
      </w:pPr>
      <w:r>
        <w:rPr>
          <w:rFonts w:ascii="Arial" w:cs="Arial" w:eastAsia="Arial" w:hAnsi="Arial"/>
          <w:color w:val="2C2C2C"/>
          <w:sz w:val="21"/>
          <w:szCs w:val="21"/>
        </w:rPr>
        <w:t xml:space="preserve">Stage 2 — Metadata Enrichment: Retrieve schema documentation, column descriptions, data type definitions, and known query patterns from the Snowflake metadata catalog.</w:t>
      </w:r>
    </w:p>
    <w:p>
      <w:pPr>
        <w:pStyle w:val="ListParagraph"/>
        <w:numPr>
          <w:ilvl w:val="0"/>
          <w:numId w:val="2"/>
        </w:numPr>
        <w:spacing w:after="40" w:before="40"/>
      </w:pPr>
      <w:r>
        <w:rPr>
          <w:rFonts w:ascii="Arial" w:cs="Arial" w:eastAsia="Arial" w:hAnsi="Arial"/>
          <w:color w:val="2C2C2C"/>
          <w:sz w:val="21"/>
          <w:szCs w:val="21"/>
        </w:rPr>
        <w:t xml:space="preserve">Stage 3 — Vector Search: PGVector similarity search over embedded FinOps documentation, historical query logs, and cost optimization knowledge articles to surface relevant analytical patterns.</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three retrieval outputs are merged and ranked by a Relevance Fusion algorithm before being injected into the SQL generation prompt, ensuring that the LLM operates with maximum contextual accuracy.</w:t>
      </w:r>
    </w:p>
    <w:p>
      <w:pPr>
        <w:spacing w:after="0" w:before="120"/>
      </w:pPr>
      <w:r>
        <w:t xml:space="preserve"/>
      </w:r>
    </w:p>
    <w:p>
      <w:pPr>
        <w:pStyle w:val="Heading2"/>
        <w:spacing w:after="80" w:before="280"/>
      </w:pPr>
      <w:r>
        <w:rPr>
          <w:rFonts w:ascii="Arial" w:cs="Arial" w:eastAsia="Arial" w:hAnsi="Arial"/>
          <w:b/>
          <w:bCs/>
          <w:color w:val="0A7EA4"/>
          <w:sz w:val="26"/>
          <w:szCs w:val="26"/>
        </w:rPr>
        <w:t xml:space="preserve">6.4  Text-to-SQL with Schema Awareness</w:t>
      </w:r>
    </w:p>
    <w:p>
      <w:pPr>
        <w:spacing w:after="100" w:before="60"/>
      </w:pPr>
      <w:r>
        <w:rPr>
          <w:rFonts w:ascii="Arial" w:cs="Arial" w:eastAsia="Arial" w:hAnsi="Arial"/>
          <w:b w:val="false"/>
          <w:bCs w:val="false"/>
          <w:i w:val="false"/>
          <w:iCs w:val="false"/>
          <w:color w:val="2C2C2C"/>
          <w:sz w:val="21"/>
          <w:szCs w:val="21"/>
        </w:rPr>
        <w:t xml:space="preserve">SQL generation in an enterprise billing context is significantly more complex than standard Text-to-SQL benchmarks suggest. Billing schemas routinely involve:</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Partitioned tables with 500M+ rows requiring precise partition predicate injection</w:t>
      </w:r>
    </w:p>
    <w:p>
      <w:pPr>
        <w:pStyle w:val="ListParagraph"/>
        <w:numPr>
          <w:ilvl w:val="0"/>
          <w:numId w:val="2"/>
        </w:numPr>
        <w:spacing w:after="40" w:before="40"/>
      </w:pPr>
      <w:r>
        <w:rPr>
          <w:rFonts w:ascii="Arial" w:cs="Arial" w:eastAsia="Arial" w:hAnsi="Arial"/>
          <w:color w:val="2C2C2C"/>
          <w:sz w:val="21"/>
          <w:szCs w:val="21"/>
        </w:rPr>
        <w:t xml:space="preserve">Complex cost allocation logic using CASE WHEN trees across 20+ dimensions</w:t>
      </w:r>
    </w:p>
    <w:p>
      <w:pPr>
        <w:pStyle w:val="ListParagraph"/>
        <w:numPr>
          <w:ilvl w:val="0"/>
          <w:numId w:val="2"/>
        </w:numPr>
        <w:spacing w:after="40" w:before="40"/>
      </w:pPr>
      <w:r>
        <w:rPr>
          <w:rFonts w:ascii="Arial" w:cs="Arial" w:eastAsia="Arial" w:hAnsi="Arial"/>
          <w:color w:val="2C2C2C"/>
          <w:sz w:val="21"/>
          <w:szCs w:val="21"/>
        </w:rPr>
        <w:t xml:space="preserve">Window functions for period-over-period analysis (LAG, LEAD, PERCENT_RANK)</w:t>
      </w:r>
    </w:p>
    <w:p>
      <w:pPr>
        <w:pStyle w:val="ListParagraph"/>
        <w:numPr>
          <w:ilvl w:val="0"/>
          <w:numId w:val="2"/>
        </w:numPr>
        <w:spacing w:after="40" w:before="40"/>
      </w:pPr>
      <w:r>
        <w:rPr>
          <w:rFonts w:ascii="Arial" w:cs="Arial" w:eastAsia="Arial" w:hAnsi="Arial"/>
          <w:color w:val="2C2C2C"/>
          <w:sz w:val="21"/>
          <w:szCs w:val="21"/>
        </w:rPr>
        <w:t xml:space="preserve">Multi-level aggregations with GROUP BY ROLLUP for hierarchical cost summaries</w:t>
      </w:r>
    </w:p>
    <w:p>
      <w:pPr>
        <w:pStyle w:val="ListParagraph"/>
        <w:numPr>
          <w:ilvl w:val="0"/>
          <w:numId w:val="2"/>
        </w:numPr>
        <w:spacing w:after="40" w:before="40"/>
      </w:pPr>
      <w:r>
        <w:rPr>
          <w:rFonts w:ascii="Arial" w:cs="Arial" w:eastAsia="Arial" w:hAnsi="Arial"/>
          <w:color w:val="2C2C2C"/>
          <w:sz w:val="21"/>
          <w:szCs w:val="21"/>
        </w:rPr>
        <w:t xml:space="preserve">CTE chains for multi-step calculations (effective unit cost, amortized reservation cost)</w:t>
      </w:r>
    </w:p>
    <w:p>
      <w:pPr>
        <w:spacing w:after="0" w:before="80"/>
      </w:pPr>
      <w:r>
        <w:t xml:space="preserve"/>
      </w:r>
    </w:p>
    <w:p>
      <w:pPr>
        <w:spacing w:after="100" w:before="60"/>
      </w:pPr>
      <w:r>
        <w:rPr>
          <w:rFonts w:ascii="Arial" w:cs="Arial" w:eastAsia="Arial" w:hAnsi="Arial"/>
          <w:b w:val="false"/>
          <w:bCs w:val="false"/>
          <w:i w:val="false"/>
          <w:iCs w:val="false"/>
          <w:color w:val="2C2C2C"/>
          <w:sz w:val="21"/>
          <w:szCs w:val="21"/>
        </w:rPr>
        <w:t xml:space="preserve">The Text-to-SQL agent is provided with: the resolved ontological context, relevant schema metadata, few-shot examples drawn from the historical query log via RAG, and explicit instructions for partition optimization. This structured context assembly — not model scale alone — is what enables accurate SQL generation on complex billing schemas.</w:t>
      </w:r>
    </w:p>
    <w:p>
      <w:pPr>
        <w:spacing w:after="0" w:before="120"/>
      </w:pPr>
      <w:r>
        <w:t xml:space="preserve"/>
      </w:r>
    </w:p>
    <w:p>
      <w:pPr>
        <w:pStyle w:val="Heading2"/>
        <w:spacing w:after="80" w:before="280"/>
      </w:pPr>
      <w:r>
        <w:rPr>
          <w:rFonts w:ascii="Arial" w:cs="Arial" w:eastAsia="Arial" w:hAnsi="Arial"/>
          <w:b/>
          <w:bCs/>
          <w:color w:val="0A7EA4"/>
          <w:sz w:val="26"/>
          <w:szCs w:val="26"/>
        </w:rPr>
        <w:t xml:space="preserve">6.5  SQL Validation Guardrails</w:t>
      </w:r>
    </w:p>
    <w:p>
      <w:pPr>
        <w:spacing w:after="100" w:before="60"/>
      </w:pPr>
      <w:r>
        <w:rPr>
          <w:rFonts w:ascii="Arial" w:cs="Arial" w:eastAsia="Arial" w:hAnsi="Arial"/>
          <w:b w:val="false"/>
          <w:bCs w:val="false"/>
          <w:i w:val="false"/>
          <w:iCs w:val="false"/>
          <w:color w:val="2C2C2C"/>
          <w:sz w:val="21"/>
          <w:szCs w:val="21"/>
        </w:rPr>
        <w:t xml:space="preserve">LLM-generated SQL is not trusted implicitly. The SQL Validation Agent applies a multi-stage correctness pipeline:</w:t>
      </w:r>
    </w:p>
    <w:p>
      <w:pPr>
        <w:spacing w:after="0" w:before="60"/>
      </w:pPr>
      <w:r>
        <w:t xml:space="preserve"/>
      </w:r>
    </w:p>
    <w:p>
      <w:pPr>
        <w:pStyle w:val="ListParagraph"/>
        <w:numPr>
          <w:ilvl w:val="0"/>
          <w:numId w:val="2"/>
        </w:numPr>
        <w:spacing w:after="40" w:before="40"/>
      </w:pPr>
      <w:r>
        <w:rPr>
          <w:rFonts w:ascii="Arial" w:cs="Arial" w:eastAsia="Arial" w:hAnsi="Arial"/>
          <w:color w:val="2C2C2C"/>
          <w:sz w:val="21"/>
          <w:szCs w:val="21"/>
        </w:rPr>
        <w:t xml:space="preserve">Syntax Validation: Parse tree analysis to detect malformed SQL before database submission.</w:t>
      </w:r>
    </w:p>
    <w:p>
      <w:pPr>
        <w:pStyle w:val="ListParagraph"/>
        <w:numPr>
          <w:ilvl w:val="0"/>
          <w:numId w:val="2"/>
        </w:numPr>
        <w:spacing w:after="40" w:before="40"/>
      </w:pPr>
      <w:r>
        <w:rPr>
          <w:rFonts w:ascii="Arial" w:cs="Arial" w:eastAsia="Arial" w:hAnsi="Arial"/>
          <w:color w:val="2C2C2C"/>
          <w:sz w:val="21"/>
          <w:szCs w:val="21"/>
        </w:rPr>
        <w:t xml:space="preserve">Schema Compliance: Verify that all referenced tables, columns, and aliases exist in the current schema version.</w:t>
      </w:r>
    </w:p>
    <w:p>
      <w:pPr>
        <w:pStyle w:val="ListParagraph"/>
        <w:numPr>
          <w:ilvl w:val="0"/>
          <w:numId w:val="2"/>
        </w:numPr>
        <w:spacing w:after="40" w:before="40"/>
      </w:pPr>
      <w:r>
        <w:rPr>
          <w:rFonts w:ascii="Arial" w:cs="Arial" w:eastAsia="Arial" w:hAnsi="Arial"/>
          <w:color w:val="2C2C2C"/>
          <w:sz w:val="21"/>
          <w:szCs w:val="21"/>
        </w:rPr>
        <w:t xml:space="preserve">Semantic Correctness: Cross-check that the generated query's logic matches the resolved intent — e.g., a 'top 10 by cost' query must include ORDER BY and LIMIT.</w:t>
      </w:r>
    </w:p>
    <w:p>
      <w:pPr>
        <w:pStyle w:val="ListParagraph"/>
        <w:numPr>
          <w:ilvl w:val="0"/>
          <w:numId w:val="2"/>
        </w:numPr>
        <w:spacing w:after="40" w:before="40"/>
      </w:pPr>
      <w:r>
        <w:rPr>
          <w:rFonts w:ascii="Arial" w:cs="Arial" w:eastAsia="Arial" w:hAnsi="Arial"/>
          <w:color w:val="2C2C2C"/>
          <w:sz w:val="21"/>
          <w:szCs w:val="21"/>
        </w:rPr>
        <w:t xml:space="preserve">Cost Safety: Reject queries missing partition predicates on large tables to prevent full-table scans.</w:t>
      </w:r>
    </w:p>
    <w:p>
      <w:pPr>
        <w:pStyle w:val="ListParagraph"/>
        <w:numPr>
          <w:ilvl w:val="0"/>
          <w:numId w:val="2"/>
        </w:numPr>
        <w:spacing w:after="40" w:before="40"/>
      </w:pPr>
      <w:r>
        <w:rPr>
          <w:rFonts w:ascii="Arial" w:cs="Arial" w:eastAsia="Arial" w:hAnsi="Arial"/>
          <w:color w:val="2C2C2C"/>
          <w:sz w:val="21"/>
          <w:szCs w:val="21"/>
        </w:rPr>
        <w:t xml:space="preserve">Auto-Correction: If validation fails, the agent generates a structured correction prompt and re-invokes the SQL agent, with a maximum of three correction cycles before escalating to a clarification response.</w:t>
      </w:r>
    </w:p>
    <w:p>
      <w:pPr>
        <w:spacing w:after="0" w:before="200"/>
      </w:pPr>
      <w:r>
        <w:t xml:space="preserve"/>
      </w:r>
    </w:p>
    <w:p>
      <w:pPr>
        <w:pStyle w:val="Heading1"/>
        <w:spacing w:after="120" w:before="360"/>
      </w:pPr>
      <w:r>
        <w:rPr>
          <w:rFonts w:ascii="Arial" w:cs="Arial" w:eastAsia="Arial" w:hAnsi="Arial"/>
          <w:b/>
          <w:bCs/>
          <w:color w:val="0D2B4E"/>
          <w:sz w:val="36"/>
          <w:szCs w:val="36"/>
        </w:rPr>
        <w:t xml:space="preserve">7. Engineering Challenges &amp; Solutions</w:t>
      </w:r>
    </w:p>
    <w:p>
      <w:pPr>
        <w:pBdr>
          <w:bottom w:val="single" w:color="0A7EA4" w:sz="4" w:space="1"/>
        </w:pBdr>
        <w:spacing w:after="80" w:before="80"/>
      </w:pPr>
      <w:r>
        <w:t xml:space="preserve"/>
      </w:r>
    </w:p>
    <w:p>
      <w:pPr>
        <w:pStyle w:val="Heading2"/>
        <w:spacing w:after="80" w:before="280"/>
      </w:pPr>
      <w:r>
        <w:rPr>
          <w:rFonts w:ascii="Arial" w:cs="Arial" w:eastAsia="Arial" w:hAnsi="Arial"/>
          <w:b/>
          <w:bCs/>
          <w:color w:val="0A7EA4"/>
          <w:sz w:val="26"/>
          <w:szCs w:val="26"/>
        </w:rPr>
        <w:t xml:space="preserve">Challenge 1: Terminological Ambiguity in Business Queries</w:t>
      </w:r>
    </w:p>
    <w:p>
      <w:pPr>
        <w:spacing w:after="100" w:before="60"/>
      </w:pPr>
      <w:r>
        <w:rPr>
          <w:rFonts w:ascii="Arial" w:cs="Arial" w:eastAsia="Arial" w:hAnsi="Arial"/>
          <w:b w:val="false"/>
          <w:bCs w:val="false"/>
          <w:i w:val="false"/>
          <w:iCs w:val="false"/>
          <w:color w:val="2C2C2C"/>
          <w:sz w:val="21"/>
          <w:szCs w:val="21"/>
        </w:rPr>
        <w:t xml:space="preserve">Natural language business queries use imprecise, contextual, and sometimes contradictory terminology. The word 'compute' might refer to EC2 instances, Kubernetes pods, Fargate tasks, or all three, depending on the business unit's conventions.</w:t>
      </w:r>
    </w:p>
    <w:p>
      <w:pPr>
        <w:spacing w:after="0" w:before="60"/>
      </w:pPr>
      <w:r>
        <w:t xml:space="preserve"/>
      </w:r>
    </w:p>
    <w:tbl>
      <w:tblPr>
        <w:tblW w:type="dxa" w:w="10800"/>
        <w:tblBorders>
          <w:top w:val="none" w:color="FFFFFF" w:sz="0"/>
          <w:left w:val="single" w:color="0A7EA4"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Introduced a two-stage semantic disambiguation process: (1) the Knowledge Graph is queried for all entities matching the ambiguous term, and (2) the ontological inference engine applies organization-specific axioms to select the contextually correct interpretation. Where ambiguity remains, the system generates a clarification question rather than guessing.</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Challenge 2: LLM Hallucination on Missing Billing Data</w:t>
      </w:r>
    </w:p>
    <w:p>
      <w:pPr>
        <w:spacing w:after="100" w:before="60"/>
      </w:pPr>
      <w:r>
        <w:rPr>
          <w:rFonts w:ascii="Arial" w:cs="Arial" w:eastAsia="Arial" w:hAnsi="Arial"/>
          <w:b w:val="false"/>
          <w:bCs w:val="false"/>
          <w:i w:val="false"/>
          <w:iCs w:val="false"/>
          <w:color w:val="2C2C2C"/>
          <w:sz w:val="21"/>
          <w:szCs w:val="21"/>
        </w:rPr>
        <w:t xml:space="preserve">When queried about a resource, team, or time period with no data in the billing database, foundation models have a tendency to fabricate plausible-sounding responses rather than returning 'no data found.'</w:t>
      </w:r>
    </w:p>
    <w:p>
      <w:pPr>
        <w:spacing w:after="0" w:before="60"/>
      </w:pPr>
      <w:r>
        <w:t xml:space="preserve"/>
      </w:r>
    </w:p>
    <w:tbl>
      <w:tblPr>
        <w:tblW w:type="dxa" w:w="10800"/>
        <w:tblBorders>
          <w:top w:val="none" w:color="FFFFFF" w:sz="0"/>
          <w:left w:val="single" w:color="0A7EA4"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Implemented a pre-execution existence check that validates whether the queried entities exist in both the Knowledge Graph and the billing database before invoking the LLM for answer synthesis. If no data is found, the system returns a structured null-response with provenance metadata rather than allowing the LLM to fill the gap.</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Challenge 3: Knowledge Graph – Database Synchronization</w:t>
      </w:r>
    </w:p>
    <w:p>
      <w:pPr>
        <w:spacing w:after="100" w:before="60"/>
      </w:pPr>
      <w:r>
        <w:rPr>
          <w:rFonts w:ascii="Arial" w:cs="Arial" w:eastAsia="Arial" w:hAnsi="Arial"/>
          <w:b w:val="false"/>
          <w:bCs w:val="false"/>
          <w:i w:val="false"/>
          <w:iCs w:val="false"/>
          <w:color w:val="2C2C2C"/>
          <w:sz w:val="21"/>
          <w:szCs w:val="21"/>
        </w:rPr>
        <w:t xml:space="preserve">The Knowledge Graph must reflect the current state of cloud infrastructure and organizational structure, which changes continuously. Stale graph data leads to incorrect semantic resolutions.</w:t>
      </w:r>
    </w:p>
    <w:p>
      <w:pPr>
        <w:spacing w:after="0" w:before="60"/>
      </w:pPr>
      <w:r>
        <w:t xml:space="preserve"/>
      </w:r>
    </w:p>
    <w:tbl>
      <w:tblPr>
        <w:tblW w:type="dxa" w:w="10800"/>
        <w:tblBorders>
          <w:top w:val="none" w:color="FFFFFF" w:sz="0"/>
          <w:left w:val="single" w:color="0A7EA4"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Designed an event-driven graph synchronization pipeline triggered by cloud billing ingestion cycles. Graph entity updates are versioned, enabling the semantic layer to operate on temporally consistent snapshots aligned with each billing period's data state.</w:t>
            </w:r>
          </w:p>
        </w:tc>
      </w:tr>
    </w:tbl>
    <w:p>
      <w:pPr>
        <w:spacing w:after="0" w:before="120"/>
      </w:pPr>
      <w:r>
        <w:t xml:space="preserve"/>
      </w:r>
    </w:p>
    <w:p>
      <w:pPr>
        <w:pStyle w:val="Heading2"/>
        <w:spacing w:after="80" w:before="280"/>
      </w:pPr>
      <w:r>
        <w:rPr>
          <w:rFonts w:ascii="Arial" w:cs="Arial" w:eastAsia="Arial" w:hAnsi="Arial"/>
          <w:b/>
          <w:bCs/>
          <w:color w:val="0A7EA4"/>
          <w:sz w:val="26"/>
          <w:szCs w:val="26"/>
        </w:rPr>
        <w:t xml:space="preserve">Challenge 4: Multi-Turn Conversational Context</w:t>
      </w:r>
    </w:p>
    <w:p>
      <w:pPr>
        <w:spacing w:after="100" w:before="60"/>
      </w:pPr>
      <w:r>
        <w:rPr>
          <w:rFonts w:ascii="Arial" w:cs="Arial" w:eastAsia="Arial" w:hAnsi="Arial"/>
          <w:b w:val="false"/>
          <w:bCs w:val="false"/>
          <w:i w:val="false"/>
          <w:iCs w:val="false"/>
          <w:color w:val="2C2C2C"/>
          <w:sz w:val="21"/>
          <w:szCs w:val="21"/>
        </w:rPr>
        <w:t xml:space="preserve">Enterprise FinOps analysis is inherently iterative: 'Show me compute costs by team' → 'Drill into the Data Platform team' → 'Compare with last quarter' → 'What's driving the increase?' Each turn depends on full resolution of prior context.</w:t>
      </w:r>
    </w:p>
    <w:p>
      <w:pPr>
        <w:spacing w:after="0" w:before="60"/>
      </w:pPr>
      <w:r>
        <w:t xml:space="preserve"/>
      </w:r>
    </w:p>
    <w:tbl>
      <w:tblPr>
        <w:tblW w:type="dxa" w:w="10800"/>
        <w:tblBorders>
          <w:top w:val="none" w:color="FFFFFF" w:sz="0"/>
          <w:left w:val="single" w:color="0A7EA4" w:sz="12"/>
          <w:bottom w:val="none" w:color="FFFFFF" w:sz="0"/>
          <w:right w:val="none" w:color="FFFFFF" w:sz="0"/>
          <w:insideH w:val="single" w:color="auto" w:sz="4"/>
          <w:insideV w:val="single" w:color="auto" w:sz="4"/>
        </w:tblBorders>
      </w:tblPr>
      <w:tblGrid>
        <w:gridCol w:w="216"/>
        <w:gridCol w:w="10584"/>
      </w:tblGrid>
      <w:tr>
        <w:tc>
          <w:tcPr>
            <w:tcW w:type="dxa" w:w="216"/>
            <w:tcBorders>
              <w:top w:val="none" w:color="FFFFFF" w:sz="0"/>
              <w:left w:val="none" w:color="FFFFFF" w:sz="0"/>
              <w:bottom w:val="none" w:color="FFFFFF" w:sz="0"/>
              <w:right w:val="none" w:color="FFFFFF" w:sz="0"/>
            </w:tcBorders>
            <w:shd w:fill="0A7EA4" w:val="clear"/>
          </w:tcPr>
          <w:p>
            <w:r>
              <w:t xml:space="preserve"/>
            </w:r>
          </w:p>
        </w:tc>
        <w:tc>
          <w:tcPr>
            <w:tcW w:type="dxa" w:w="10584"/>
            <w:tcBorders>
              <w:top w:val="none" w:color="FFFFFF" w:sz="0"/>
              <w:left w:val="none" w:color="FFFFFF" w:sz="0"/>
              <w:bottom w:val="none" w:color="FFFFFF" w:sz="0"/>
              <w:right w:val="none" w:color="FFFFFF" w:sz="0"/>
            </w:tcBorders>
            <w:shd w:fill="E8F4F9" w:val="clear"/>
            <w:tcMar>
              <w:top w:type="dxa" w:w="100"/>
              <w:left w:type="dxa" w:w="180"/>
              <w:bottom w:type="dxa" w:w="100"/>
              <w:right w:type="dxa" w:w="180"/>
            </w:tcMar>
          </w:tcPr>
          <w:p>
            <w:r>
              <w:rPr>
                <w:rFonts w:ascii="Arial" w:cs="Arial" w:eastAsia="Arial" w:hAnsi="Arial"/>
                <w:b/>
                <w:bCs/>
                <w:color w:val="0A7EA4"/>
                <w:sz w:val="20"/>
                <w:szCs w:val="20"/>
              </w:rPr>
              <w:t xml:space="preserve">SOLUTION</w:t>
            </w:r>
          </w:p>
          <w:p>
            <w:pPr>
              <w:spacing w:before="40"/>
            </w:pPr>
            <w:r>
              <w:rPr>
                <w:rFonts w:ascii="Arial" w:cs="Arial" w:eastAsia="Arial" w:hAnsi="Arial"/>
                <w:color w:val="2C2C2C"/>
                <w:sz w:val="20"/>
                <w:szCs w:val="20"/>
              </w:rPr>
              <w:t xml:space="preserve">Implemented a layered memory architecture comprising: (a) Immediate Context — the current conversation's resolved entities and executed queries; (b) Session Memory — the full conversation history with semantic annotations; (c) Episodic Memory — persistent storage of common query patterns per user role. This enables coherent multi-turn drilling without requiring users to re-specify context.</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8. Results &amp; Business Value</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platform successfully delivered against all seven project objectives. The following outcomes were validated through structured evaluation:</w:t>
      </w:r>
    </w:p>
    <w:p>
      <w:pPr>
        <w:spacing w:after="0" w:before="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40"/>
        <w:gridCol w:w="5760"/>
      </w:tblGrid>
      <w:tr>
        <w:tc>
          <w:tcPr>
            <w:tcW w:type="dxa" w:w="504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57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Conversational Query Accuracy</w:t>
            </w:r>
          </w:p>
        </w:tc>
        <w:tc>
          <w:tcPr>
            <w:tcW w:type="dxa" w:w="57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High accuracy on analytical, navigational, and optimization query classes across multi-cloud billing schemas.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SQL Generation Quality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Schema-aware SQL generated with correct partition predicates, eliminating full-table scan risk on large billing tables.</w:t>
            </w:r>
          </w:p>
        </w:tc>
      </w:tr>
      <w:tr>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Explainability</w:t>
            </w:r>
          </w:p>
        </w:tc>
        <w:tc>
          <w:tcPr>
            <w:tcW w:type="dxa" w:w="57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100% of responses include traceable evidence from Knowledge Graph relationships and retrieved metadata.</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Multi-Cloud Coverage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Unified semantic layer abstracts over AWS Cost &amp; Usage Report, Azure Cost Management Export, and GCP Billing Export.</w:t>
            </w:r>
          </w:p>
        </w:tc>
      </w:tr>
      <w:tr>
        <w:tc>
          <w:tcPr>
            <w:tcW w:type="dxa" w:w="504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b/>
                <w:bCs/>
                <w:color w:val="0D2B4E"/>
                <w:sz w:val="20"/>
                <w:szCs w:val="20"/>
              </w:rPr>
              <w:t xml:space="preserve">Conversational Depth</w:t>
            </w:r>
          </w:p>
        </w:tc>
        <w:tc>
          <w:tcPr>
            <w:tcW w:type="dxa" w:w="5760"/>
            <w:tcBorders>
              <w:top w:val="single" w:color="CCCCCC" w:sz="1"/>
              <w:left w:val="single" w:color="CCCCCC" w:sz="1"/>
              <w:bottom w:val="single" w:color="CCCCCC" w:sz="1"/>
              <w:right w:val="single" w:color="CCCCCC" w:sz="1"/>
            </w:tcBorders>
            <w:shd w:fill="E8F4F9" w:val="clear"/>
            <w:tcMar>
              <w:top w:type="dxa" w:w="80"/>
              <w:left w:type="dxa" w:w="120"/>
              <w:bottom w:type="dxa" w:w="80"/>
              <w:right w:type="dxa" w:w="120"/>
            </w:tcMar>
          </w:tcPr>
          <w:p>
            <w:r>
              <w:rPr>
                <w:rFonts w:ascii="Arial" w:cs="Arial" w:eastAsia="Arial" w:hAnsi="Arial"/>
                <w:color w:val="2C2C2C"/>
                <w:sz w:val="20"/>
                <w:szCs w:val="20"/>
              </w:rPr>
              <w:t xml:space="preserve">Multi-turn conversations sustaining up to 12 contextual follow-up queries without context reset.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D2B4E"/>
                <w:sz w:val="20"/>
                <w:szCs w:val="20"/>
              </w:rPr>
              <w:t xml:space="preserve">Architecture Reusability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Core platform components (semantic layer, agent graph, hybrid RAG) documented as reusable enterprise AI building blocks.</w:t>
            </w:r>
          </w:p>
        </w:tc>
      </w:tr>
    </w:tbl>
    <w:p>
      <w:pPr>
        <w:spacing w:after="0" w:before="200"/>
      </w:pPr>
      <w:r>
        <w:t xml:space="preserve"/>
      </w:r>
    </w:p>
    <w:p>
      <w:pPr>
        <w:pStyle w:val="Heading1"/>
        <w:spacing w:after="120" w:before="360"/>
      </w:pPr>
      <w:r>
        <w:rPr>
          <w:rFonts w:ascii="Arial" w:cs="Arial" w:eastAsia="Arial" w:hAnsi="Arial"/>
          <w:b/>
          <w:bCs/>
          <w:color w:val="0D2B4E"/>
          <w:sz w:val="36"/>
          <w:szCs w:val="36"/>
        </w:rPr>
        <w:t xml:space="preserve">9. Key Learnings</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development of this platform produced several transferable architectural insights relevant to any organization building enterprise-grade AI systems:</w:t>
      </w:r>
    </w:p>
    <w:p>
      <w:pPr>
        <w:spacing w:after="0" w:before="80"/>
      </w:pPr>
      <w:r>
        <w:t xml:space="preserve"/>
      </w:r>
    </w:p>
    <w:p>
      <w:pPr>
        <w:pStyle w:val="Heading2"/>
        <w:spacing w:after="80" w:before="280"/>
      </w:pPr>
      <w:r>
        <w:rPr>
          <w:rFonts w:ascii="Arial" w:cs="Arial" w:eastAsia="Arial" w:hAnsi="Arial"/>
          <w:b/>
          <w:bCs/>
          <w:color w:val="0A7EA4"/>
          <w:sz w:val="26"/>
          <w:szCs w:val="26"/>
        </w:rPr>
        <w:t xml:space="preserve">Semantics Must Precede SQL</w:t>
      </w:r>
    </w:p>
    <w:p>
      <w:pPr>
        <w:spacing w:after="100" w:before="60"/>
      </w:pPr>
      <w:r>
        <w:rPr>
          <w:rFonts w:ascii="Arial" w:cs="Arial" w:eastAsia="Arial" w:hAnsi="Arial"/>
          <w:b w:val="false"/>
          <w:bCs w:val="false"/>
          <w:i w:val="false"/>
          <w:iCs w:val="false"/>
          <w:color w:val="2C2C2C"/>
          <w:sz w:val="21"/>
          <w:szCs w:val="21"/>
        </w:rPr>
        <w:t xml:space="preserve">Connecting an LLM directly to a database without a semantic resolution layer produces brittle, schema-dependent behavior. The ontological semantic layer is not an optimization — it is a prerequisite for production reliability.</w:t>
      </w:r>
    </w:p>
    <w:p>
      <w:pPr>
        <w:spacing w:after="0" w:before="60"/>
      </w:pPr>
      <w:r>
        <w:t xml:space="preserve"/>
      </w:r>
    </w:p>
    <w:p>
      <w:pPr>
        <w:pStyle w:val="Heading2"/>
        <w:spacing w:after="80" w:before="280"/>
      </w:pPr>
      <w:r>
        <w:rPr>
          <w:rFonts w:ascii="Arial" w:cs="Arial" w:eastAsia="Arial" w:hAnsi="Arial"/>
          <w:b/>
          <w:bCs/>
          <w:color w:val="0A7EA4"/>
          <w:sz w:val="26"/>
          <w:szCs w:val="26"/>
        </w:rPr>
        <w:t xml:space="preserve">Knowledge Graphs Are the Missing Layer in Enterprise RAG</w:t>
      </w:r>
    </w:p>
    <w:p>
      <w:pPr>
        <w:spacing w:after="100" w:before="60"/>
      </w:pPr>
      <w:r>
        <w:rPr>
          <w:rFonts w:ascii="Arial" w:cs="Arial" w:eastAsia="Arial" w:hAnsi="Arial"/>
          <w:b w:val="false"/>
          <w:bCs w:val="false"/>
          <w:i w:val="false"/>
          <w:iCs w:val="false"/>
          <w:color w:val="2C2C2C"/>
          <w:sz w:val="21"/>
          <w:szCs w:val="21"/>
        </w:rPr>
        <w:t xml:space="preserve">Standard RAG over text embeddings cannot capture the structured relationships that define enterprise data: hierarchies, allocations, dependencies. Knowledge Graphs fill this gap and dramatically improve retrieval precision for analytical queries.</w:t>
      </w:r>
    </w:p>
    <w:p>
      <w:pPr>
        <w:spacing w:after="0" w:before="60"/>
      </w:pPr>
      <w:r>
        <w:t xml:space="preserve"/>
      </w:r>
    </w:p>
    <w:p>
      <w:pPr>
        <w:pStyle w:val="Heading2"/>
        <w:spacing w:after="80" w:before="280"/>
      </w:pPr>
      <w:r>
        <w:rPr>
          <w:rFonts w:ascii="Arial" w:cs="Arial" w:eastAsia="Arial" w:hAnsi="Arial"/>
          <w:b/>
          <w:bCs/>
          <w:color w:val="0A7EA4"/>
          <w:sz w:val="26"/>
          <w:szCs w:val="26"/>
        </w:rPr>
        <w:t xml:space="preserve">Narrow Agents Outperform Monolithic LLM Calls</w:t>
      </w:r>
    </w:p>
    <w:p>
      <w:pPr>
        <w:spacing w:after="100" w:before="60"/>
      </w:pPr>
      <w:r>
        <w:rPr>
          <w:rFonts w:ascii="Arial" w:cs="Arial" w:eastAsia="Arial" w:hAnsi="Arial"/>
          <w:b w:val="false"/>
          <w:bCs w:val="false"/>
          <w:i w:val="false"/>
          <w:iCs w:val="false"/>
          <w:color w:val="2C2C2C"/>
          <w:sz w:val="21"/>
          <w:szCs w:val="21"/>
        </w:rPr>
        <w:t xml:space="preserve">Splitting the pipeline into specialized agents — each with a single, well-defined responsibility — improved both accuracy and debuggability compared to attempting to solve the entire problem in a single LLM call.</w:t>
      </w:r>
    </w:p>
    <w:p>
      <w:pPr>
        <w:spacing w:after="0" w:before="60"/>
      </w:pPr>
      <w:r>
        <w:t xml:space="preserve"/>
      </w:r>
    </w:p>
    <w:p>
      <w:pPr>
        <w:pStyle w:val="Heading2"/>
        <w:spacing w:after="80" w:before="280"/>
      </w:pPr>
      <w:r>
        <w:rPr>
          <w:rFonts w:ascii="Arial" w:cs="Arial" w:eastAsia="Arial" w:hAnsi="Arial"/>
          <w:b/>
          <w:bCs/>
          <w:color w:val="0A7EA4"/>
          <w:sz w:val="26"/>
          <w:szCs w:val="26"/>
        </w:rPr>
        <w:t xml:space="preserve">Validation Is Not Optional</w:t>
      </w:r>
    </w:p>
    <w:p>
      <w:pPr>
        <w:spacing w:after="100" w:before="60"/>
      </w:pPr>
      <w:r>
        <w:rPr>
          <w:rFonts w:ascii="Arial" w:cs="Arial" w:eastAsia="Arial" w:hAnsi="Arial"/>
          <w:b w:val="false"/>
          <w:bCs w:val="false"/>
          <w:i w:val="false"/>
          <w:iCs w:val="false"/>
          <w:color w:val="2C2C2C"/>
          <w:sz w:val="21"/>
          <w:szCs w:val="21"/>
        </w:rPr>
        <w:t xml:space="preserve">LLM-generated SQL requires automated validation before execution, particularly in environments where incorrect queries can trigger costly full-table scans or return subtly wrong aggregations. This is as important as the generation step itself.</w:t>
      </w:r>
    </w:p>
    <w:p>
      <w:pPr>
        <w:spacing w:after="0" w:before="60"/>
      </w:pPr>
      <w:r>
        <w:t xml:space="preserve"/>
      </w:r>
    </w:p>
    <w:p>
      <w:pPr>
        <w:pStyle w:val="Heading2"/>
        <w:spacing w:after="80" w:before="280"/>
      </w:pPr>
      <w:r>
        <w:rPr>
          <w:rFonts w:ascii="Arial" w:cs="Arial" w:eastAsia="Arial" w:hAnsi="Arial"/>
          <w:b/>
          <w:bCs/>
          <w:color w:val="0A7EA4"/>
          <w:sz w:val="26"/>
          <w:szCs w:val="26"/>
        </w:rPr>
        <w:t xml:space="preserve">Explainability Drives Adoption</w:t>
      </w:r>
    </w:p>
    <w:p>
      <w:pPr>
        <w:spacing w:after="100" w:before="60"/>
      </w:pPr>
      <w:r>
        <w:rPr>
          <w:rFonts w:ascii="Arial" w:cs="Arial" w:eastAsia="Arial" w:hAnsi="Arial"/>
          <w:b w:val="false"/>
          <w:bCs w:val="false"/>
          <w:i w:val="false"/>
          <w:iCs w:val="false"/>
          <w:color w:val="2C2C2C"/>
          <w:sz w:val="21"/>
          <w:szCs w:val="21"/>
        </w:rPr>
        <w:t xml:space="preserve">Business stakeholders trust AI responses more readily when they can see the evidence trail. Building explainability into the architecture from the start — rather than adding it as an afterthought — was a key adoption driver.</w:t>
      </w:r>
    </w:p>
    <w:p>
      <w:pPr>
        <w:spacing w:after="0" w:before="200"/>
      </w:pPr>
      <w:r>
        <w:t xml:space="preserve"/>
      </w:r>
    </w:p>
    <w:p>
      <w:pPr>
        <w:pStyle w:val="Heading1"/>
        <w:spacing w:after="120" w:before="360"/>
      </w:pPr>
      <w:r>
        <w:rPr>
          <w:rFonts w:ascii="Arial" w:cs="Arial" w:eastAsia="Arial" w:hAnsi="Arial"/>
          <w:b/>
          <w:bCs/>
          <w:color w:val="0D2B4E"/>
          <w:sz w:val="36"/>
          <w:szCs w:val="36"/>
        </w:rPr>
        <w:t xml:space="preserve">10. Technologies Used</w:t>
      </w:r>
    </w:p>
    <w:p>
      <w:pPr>
        <w:pBdr>
          <w:bottom w:val="single" w:color="0A7EA4" w:sz="4" w:space="1"/>
        </w:pBdr>
        <w:spacing w:after="80" w:before="80"/>
      </w:pPr>
      <w:r>
        <w:t xml:space="preserve"/>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Backend</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Python 3.11</w:t>
            </w:r>
            <w:r>
              <w:rPr>
                <w:rFonts w:ascii="Arial" w:cs="Arial" w:eastAsia="Arial" w:hAnsi="Arial"/>
                <w:b w:val="false"/>
                <w:bCs w:val="false"/>
                <w:color w:val="0D2B4E"/>
                <w:sz w:val="20"/>
                <w:szCs w:val="20"/>
              </w:rPr>
              <w:t xml:space="preserve">   |   FastAPI</w:t>
            </w:r>
            <w:r>
              <w:rPr>
                <w:rFonts w:ascii="Arial" w:cs="Arial" w:eastAsia="Arial" w:hAnsi="Arial"/>
                <w:b w:val="false"/>
                <w:bCs w:val="false"/>
                <w:color w:val="0D2B4E"/>
                <w:sz w:val="20"/>
                <w:szCs w:val="20"/>
              </w:rPr>
              <w:t xml:space="preserve">   |   Pydantic v2</w:t>
            </w:r>
            <w:r>
              <w:rPr>
                <w:rFonts w:ascii="Arial" w:cs="Arial" w:eastAsia="Arial" w:hAnsi="Arial"/>
                <w:b w:val="false"/>
                <w:bCs w:val="false"/>
                <w:color w:val="0D2B4E"/>
                <w:sz w:val="20"/>
                <w:szCs w:val="20"/>
              </w:rPr>
              <w:t xml:space="preserve">   |   Uvicorn</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AI / LLM Frameworks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LangGraph</w:t>
            </w:r>
            <w:r>
              <w:rPr>
                <w:rFonts w:ascii="Arial" w:cs="Arial" w:eastAsia="Arial" w:hAnsi="Arial"/>
                <w:b w:val="false"/>
                <w:bCs w:val="false"/>
                <w:color w:val="0D2B4E"/>
                <w:sz w:val="20"/>
                <w:szCs w:val="20"/>
              </w:rPr>
              <w:t xml:space="preserve">   |   LangChain</w:t>
            </w:r>
            <w:r>
              <w:rPr>
                <w:rFonts w:ascii="Arial" w:cs="Arial" w:eastAsia="Arial" w:hAnsi="Arial"/>
                <w:b w:val="false"/>
                <w:bCs w:val="false"/>
                <w:color w:val="0D2B4E"/>
                <w:sz w:val="20"/>
                <w:szCs w:val="20"/>
              </w:rPr>
              <w:t xml:space="preserve">   |   OpenAI SDK</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Foundation Models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GPT-4o (OpenAI)</w:t>
            </w:r>
            <w:r>
              <w:rPr>
                <w:rFonts w:ascii="Arial" w:cs="Arial" w:eastAsia="Arial" w:hAnsi="Arial"/>
                <w:b w:val="false"/>
                <w:bCs w:val="false"/>
                <w:color w:val="0D2B4E"/>
                <w:sz w:val="20"/>
                <w:szCs w:val="20"/>
              </w:rPr>
              <w:t xml:space="preserve">   |   Gemini 1.5 Pro (Google)</w:t>
            </w:r>
            <w:r>
              <w:rPr>
                <w:rFonts w:ascii="Arial" w:cs="Arial" w:eastAsia="Arial" w:hAnsi="Arial"/>
                <w:b w:val="false"/>
                <w:bCs w:val="false"/>
                <w:color w:val="0D2B4E"/>
                <w:sz w:val="20"/>
                <w:szCs w:val="20"/>
              </w:rPr>
              <w:t xml:space="preserve">   |   Llama 3 via Ollama</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Knowledge Technologies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Neo4j (Graph DB)</w:t>
            </w:r>
            <w:r>
              <w:rPr>
                <w:rFonts w:ascii="Arial" w:cs="Arial" w:eastAsia="Arial" w:hAnsi="Arial"/>
                <w:b w:val="false"/>
                <w:bCs w:val="false"/>
                <w:color w:val="0D2B4E"/>
                <w:sz w:val="20"/>
                <w:szCs w:val="20"/>
              </w:rPr>
              <w:t xml:space="preserve">   |   RDF / OWL 2</w:t>
            </w:r>
            <w:r>
              <w:rPr>
                <w:rFonts w:ascii="Arial" w:cs="Arial" w:eastAsia="Arial" w:hAnsi="Arial"/>
                <w:b w:val="false"/>
                <w:bCs w:val="false"/>
                <w:color w:val="0D2B4E"/>
                <w:sz w:val="20"/>
                <w:szCs w:val="20"/>
              </w:rPr>
              <w:t xml:space="preserve">   |   SPARQL</w:t>
            </w:r>
            <w:r>
              <w:rPr>
                <w:rFonts w:ascii="Arial" w:cs="Arial" w:eastAsia="Arial" w:hAnsi="Arial"/>
                <w:b w:val="false"/>
                <w:bCs w:val="false"/>
                <w:color w:val="0D2B4E"/>
                <w:sz w:val="20"/>
                <w:szCs w:val="20"/>
              </w:rPr>
              <w:t xml:space="preserve">   |   Protégé (Ontology)</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&amp; Analytics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Snowflake</w:t>
            </w:r>
            <w:r>
              <w:rPr>
                <w:rFonts w:ascii="Arial" w:cs="Arial" w:eastAsia="Arial" w:hAnsi="Arial"/>
                <w:b w:val="false"/>
                <w:bCs w:val="false"/>
                <w:color w:val="0D2B4E"/>
                <w:sz w:val="20"/>
                <w:szCs w:val="20"/>
              </w:rPr>
              <w:t xml:space="preserve">   |   PostgreSQL</w:t>
            </w:r>
            <w:r>
              <w:rPr>
                <w:rFonts w:ascii="Arial" w:cs="Arial" w:eastAsia="Arial" w:hAnsi="Arial"/>
                <w:b w:val="false"/>
                <w:bCs w:val="false"/>
                <w:color w:val="0D2B4E"/>
                <w:sz w:val="20"/>
                <w:szCs w:val="20"/>
              </w:rPr>
              <w:t xml:space="preserve">   |   Apache Iceberg</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Vector Search</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PGVector</w:t>
            </w:r>
            <w:r>
              <w:rPr>
                <w:rFonts w:ascii="Arial" w:cs="Arial" w:eastAsia="Arial" w:hAnsi="Arial"/>
                <w:b w:val="false"/>
                <w:bCs w:val="false"/>
                <w:color w:val="0D2B4E"/>
                <w:sz w:val="20"/>
                <w:szCs w:val="20"/>
              </w:rPr>
              <w:t xml:space="preserve">   |   FAISS (evaluation)</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Standards &amp; Specs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FinOps FOCUS Specification</w:t>
            </w:r>
            <w:r>
              <w:rPr>
                <w:rFonts w:ascii="Arial" w:cs="Arial" w:eastAsia="Arial" w:hAnsi="Arial"/>
                <w:b w:val="false"/>
                <w:bCs w:val="false"/>
                <w:color w:val="0D2B4E"/>
                <w:sz w:val="20"/>
                <w:szCs w:val="20"/>
              </w:rPr>
              <w:t xml:space="preserve">   |   Cloud Billing Schema Standards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Infrastructure</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Docker / Docker Compose</w:t>
            </w:r>
            <w:r>
              <w:rPr>
                <w:rFonts w:ascii="Arial" w:cs="Arial" w:eastAsia="Arial" w:hAnsi="Arial"/>
                <w:b w:val="false"/>
                <w:bCs w:val="false"/>
                <w:color w:val="0D2B4E"/>
                <w:sz w:val="20"/>
                <w:szCs w:val="20"/>
              </w:rPr>
              <w:t xml:space="preserve">   |   GitHub Actions</w:t>
            </w:r>
            <w:r>
              <w:rPr>
                <w:rFonts w:ascii="Arial" w:cs="Arial" w:eastAsia="Arial" w:hAnsi="Arial"/>
                <w:b w:val="false"/>
                <w:bCs w:val="false"/>
                <w:color w:val="0D2B4E"/>
                <w:sz w:val="20"/>
                <w:szCs w:val="20"/>
              </w:rPr>
              <w:t xml:space="preserve">   |   Render (Cloud Deployment)</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8640"/>
      </w:tblGrid>
      <w:tr>
        <w:tc>
          <w:tcPr>
            <w:tcW w:type="dxa" w:w="2160"/>
            <w:tcBorders>
              <w:top w:val="single" w:color="0A7EA4" w:sz="1"/>
              <w:left w:val="single" w:color="0A7EA4" w:sz="1"/>
              <w:bottom w:val="single" w:color="0A7EA4" w:sz="1"/>
              <w:right w:val="single" w:color="0A7EA4" w:sz="1"/>
            </w:tcBorders>
            <w:shd w:fill="0D2B4E" w:val="clear"/>
            <w:tcMar>
              <w:top w:type="dxa" w:w="80"/>
              <w:left w:type="dxa" w:w="120"/>
              <w:bottom w:type="dxa" w:w="80"/>
              <w:right w:type="dxa" w:w="120"/>
            </w:tcMar>
            <w:vAlign w:val="center"/>
          </w:tcPr>
          <w:p>
            <w:r>
              <w:rPr>
                <w:rFonts w:ascii="Arial" w:cs="Arial" w:eastAsia="Arial" w:hAnsi="Arial"/>
                <w:b/>
                <w:bCs/>
                <w:color w:val="FFFFFF"/>
                <w:sz w:val="19"/>
                <w:szCs w:val="19"/>
              </w:rPr>
              <w:t xml:space="preserve">Development Tools</w:t>
            </w:r>
          </w:p>
        </w:tc>
        <w:tc>
          <w:tcPr>
            <w:tcW w:type="dxa" w:w="8640"/>
            <w:tcBorders>
              <w:top w:val="single" w:color="0A7EA4" w:sz="1"/>
              <w:left w:val="single" w:color="0A7EA4" w:sz="1"/>
              <w:bottom w:val="single" w:color="0A7EA4" w:sz="1"/>
              <w:right w:val="single" w:color="0A7EA4" w:sz="1"/>
            </w:tcBorders>
            <w:shd w:fill="E8F4F9" w:val="clear"/>
            <w:tcMar>
              <w:top w:type="dxa" w:w="80"/>
              <w:left w:type="dxa" w:w="120"/>
              <w:bottom w:type="dxa" w:w="80"/>
              <w:right w:type="dxa" w:w="120"/>
            </w:tcMar>
          </w:tcPr>
          <w:p>
            <w:r>
              <w:rPr>
                <w:rFonts w:ascii="Arial" w:cs="Arial" w:eastAsia="Arial" w:hAnsi="Arial"/>
                <w:b w:val="false"/>
                <w:bCs w:val="false"/>
                <w:color w:val="0D2B4E"/>
                <w:sz w:val="20"/>
                <w:szCs w:val="20"/>
              </w:rPr>
              <w:t xml:space="preserve">VS Code</w:t>
            </w:r>
            <w:r>
              <w:rPr>
                <w:rFonts w:ascii="Arial" w:cs="Arial" w:eastAsia="Arial" w:hAnsi="Arial"/>
                <w:b w:val="false"/>
                <w:bCs w:val="false"/>
                <w:color w:val="0D2B4E"/>
                <w:sz w:val="20"/>
                <w:szCs w:val="20"/>
              </w:rPr>
              <w:t xml:space="preserve">   |   Jupyter Notebooks</w:t>
            </w:r>
            <w:r>
              <w:rPr>
                <w:rFonts w:ascii="Arial" w:cs="Arial" w:eastAsia="Arial" w:hAnsi="Arial"/>
                <w:b w:val="false"/>
                <w:bCs w:val="false"/>
                <w:color w:val="0D2B4E"/>
                <w:sz w:val="20"/>
                <w:szCs w:val="20"/>
              </w:rPr>
              <w:t xml:space="preserve">   |   Postman</w:t>
            </w:r>
            <w:r>
              <w:rPr>
                <w:rFonts w:ascii="Arial" w:cs="Arial" w:eastAsia="Arial" w:hAnsi="Arial"/>
                <w:b w:val="false"/>
                <w:bCs w:val="false"/>
                <w:color w:val="0D2B4E"/>
                <w:sz w:val="20"/>
                <w:szCs w:val="20"/>
              </w:rPr>
              <w:t xml:space="preserve">   |   DBeaver</w:t>
            </w:r>
          </w:p>
        </w:tc>
      </w:tr>
    </w:tbl>
    <w:p>
      <w:pPr>
        <w:spacing w:after="0" w:before="100"/>
      </w:pPr>
      <w:r>
        <w:t xml:space="preserve"/>
      </w:r>
    </w:p>
    <w:p>
      <w:pPr>
        <w:spacing w:after="100" w:before="60"/>
      </w:pPr>
      <w:r>
        <w:rPr>
          <w:rFonts w:ascii="Arial" w:cs="Arial" w:eastAsia="Arial" w:hAnsi="Arial"/>
          <w:b w:val="false"/>
          <w:bCs w:val="false"/>
          <w:i/>
          <w:iCs/>
          <w:color w:val="5A6370"/>
          <w:sz w:val="21"/>
          <w:szCs w:val="21"/>
        </w:rPr>
        <w:t xml:space="preserve">Note: Specific model fine-tuning configurations, prompt engineering templates, and proprietary cost optimization algorithms are maintained as internal Abhigya AI Lab intellectual property.</w:t>
      </w:r>
    </w:p>
    <w:p>
      <w:pPr>
        <w:spacing w:after="0" w:before="200"/>
      </w:pPr>
      <w:r>
        <w:t xml:space="preserve"/>
      </w:r>
    </w:p>
    <w:p>
      <w:pPr>
        <w:pStyle w:val="Heading1"/>
        <w:spacing w:after="120" w:before="360"/>
      </w:pPr>
      <w:r>
        <w:rPr>
          <w:rFonts w:ascii="Arial" w:cs="Arial" w:eastAsia="Arial" w:hAnsi="Arial"/>
          <w:b/>
          <w:bCs/>
          <w:color w:val="0D2B4E"/>
          <w:sz w:val="36"/>
          <w:szCs w:val="36"/>
        </w:rPr>
        <w:t xml:space="preserve">11. Future Roadmap</w:t>
      </w:r>
    </w:p>
    <w:p>
      <w:pPr>
        <w:pBdr>
          <w:bottom w:val="single" w:color="0A7EA4" w:sz="4" w:space="1"/>
        </w:pBdr>
        <w:spacing w:after="80" w:before="80"/>
      </w:pPr>
      <w:r>
        <w:t xml:space="preserve"/>
      </w:r>
    </w:p>
    <w:p>
      <w:pPr>
        <w:spacing w:after="100" w:before="60"/>
      </w:pPr>
      <w:r>
        <w:rPr>
          <w:rFonts w:ascii="Arial" w:cs="Arial" w:eastAsia="Arial" w:hAnsi="Arial"/>
          <w:b w:val="false"/>
          <w:bCs w:val="false"/>
          <w:i w:val="false"/>
          <w:iCs w:val="false"/>
          <w:color w:val="2C2C2C"/>
          <w:sz w:val="21"/>
          <w:szCs w:val="21"/>
        </w:rPr>
        <w:t xml:space="preserve">The platform architecture is designed for continuous capability expansion. Planned enhancements include:</w:t>
      </w:r>
    </w:p>
    <w:p>
      <w:pPr>
        <w:spacing w:after="0" w:before="80"/>
      </w:pPr>
      <w:r>
        <w:t xml:space="preserve"/>
      </w:r>
    </w:p>
    <w:p>
      <w:pPr>
        <w:pStyle w:val="ListParagraph"/>
        <w:numPr>
          <w:ilvl w:val="0"/>
          <w:numId w:val="2"/>
        </w:numPr>
        <w:spacing w:after="40" w:before="40"/>
      </w:pPr>
      <w:r>
        <w:rPr>
          <w:rFonts w:ascii="Arial" w:cs="Arial" w:eastAsia="Arial" w:hAnsi="Arial"/>
          <w:color w:val="2C2C2C"/>
          <w:sz w:val="21"/>
          <w:szCs w:val="21"/>
        </w:rPr>
        <w:t xml:space="preserve">Autonomous Optimization Engine: Shift from answering 'what is happening' to autonomously recommending and executing cost reduction actions (rightsizing, reservation purchasing, idle resource termination) with human approval workflows.</w:t>
      </w:r>
    </w:p>
    <w:p>
      <w:pPr>
        <w:pStyle w:val="ListParagraph"/>
        <w:numPr>
          <w:ilvl w:val="0"/>
          <w:numId w:val="2"/>
        </w:numPr>
        <w:spacing w:after="40" w:before="40"/>
      </w:pPr>
      <w:r>
        <w:rPr>
          <w:rFonts w:ascii="Arial" w:cs="Arial" w:eastAsia="Arial" w:hAnsi="Arial"/>
          <w:color w:val="2C2C2C"/>
          <w:sz w:val="21"/>
          <w:szCs w:val="21"/>
        </w:rPr>
        <w:t xml:space="preserve">Predictive Cost Intelligence: Integrate time-series forecasting models to predict budget overruns, detect anomalies before billing cycle close, and proactively alert on cost trajectory deviations.</w:t>
      </w:r>
    </w:p>
    <w:p>
      <w:pPr>
        <w:pStyle w:val="ListParagraph"/>
        <w:numPr>
          <w:ilvl w:val="0"/>
          <w:numId w:val="2"/>
        </w:numPr>
        <w:spacing w:after="40" w:before="40"/>
      </w:pPr>
      <w:r>
        <w:rPr>
          <w:rFonts w:ascii="Arial" w:cs="Arial" w:eastAsia="Arial" w:hAnsi="Arial"/>
          <w:color w:val="2C2C2C"/>
          <w:sz w:val="21"/>
          <w:szCs w:val="21"/>
        </w:rPr>
        <w:t xml:space="preserve">Real-Time Cloud Event Stream: Connect to cloud provider event streams (AWS CloudTrail, Azure Monitor, GCP Pub/Sub) to enable real-time cost impact analysis of infrastructure changes.</w:t>
      </w:r>
    </w:p>
    <w:p>
      <w:pPr>
        <w:pStyle w:val="ListParagraph"/>
        <w:numPr>
          <w:ilvl w:val="0"/>
          <w:numId w:val="2"/>
        </w:numPr>
        <w:spacing w:after="40" w:before="40"/>
      </w:pPr>
      <w:r>
        <w:rPr>
          <w:rFonts w:ascii="Arial" w:cs="Arial" w:eastAsia="Arial" w:hAnsi="Arial"/>
          <w:color w:val="2C2C2C"/>
          <w:sz w:val="21"/>
          <w:szCs w:val="21"/>
        </w:rPr>
        <w:t xml:space="preserve">Policy Reasoning Engine: Encode enterprise FinOps governance policies as OWL axioms, enabling the platform to automatically flag policy violations and recommend compliant alternatives.</w:t>
      </w:r>
    </w:p>
    <w:p>
      <w:pPr>
        <w:pStyle w:val="ListParagraph"/>
        <w:numPr>
          <w:ilvl w:val="0"/>
          <w:numId w:val="2"/>
        </w:numPr>
        <w:spacing w:after="40" w:before="40"/>
      </w:pPr>
      <w:r>
        <w:rPr>
          <w:rFonts w:ascii="Arial" w:cs="Arial" w:eastAsia="Arial" w:hAnsi="Arial"/>
          <w:color w:val="2C2C2C"/>
          <w:sz w:val="21"/>
          <w:szCs w:val="21"/>
        </w:rPr>
        <w:t xml:space="preserve">Agent-to-Agent Collaboration: Extend the architecture to support cross-domain agent collaboration — e.g., the FinOps agent coordinating with a Procurement agent to evaluate Reserved Instance purchasing decisions against contract obligations.</w:t>
      </w:r>
    </w:p>
    <w:p>
      <w:pPr>
        <w:pStyle w:val="ListParagraph"/>
        <w:numPr>
          <w:ilvl w:val="0"/>
          <w:numId w:val="2"/>
        </w:numPr>
        <w:spacing w:after="40" w:before="40"/>
      </w:pPr>
      <w:r>
        <w:rPr>
          <w:rFonts w:ascii="Arial" w:cs="Arial" w:eastAsia="Arial" w:hAnsi="Arial"/>
          <w:color w:val="2C2C2C"/>
          <w:sz w:val="21"/>
          <w:szCs w:val="21"/>
        </w:rPr>
        <w:t xml:space="preserve">Domain Expansion: Apply the same Semantics-First Agentic AI architecture to adjacent enterprise domains including HR analytics, supply chain cost intelligence, and SaaS spend management.</w:t>
      </w:r>
    </w:p>
    <w:p>
      <w:pPr>
        <w:spacing w:after="0" w:before="200"/>
      </w:pPr>
      <w:r>
        <w:t xml:space="preserve"/>
      </w:r>
    </w:p>
    <w:p>
      <w:pPr>
        <w:pStyle w:val="Heading1"/>
        <w:spacing w:after="120" w:before="360"/>
      </w:pPr>
      <w:r>
        <w:rPr>
          <w:rFonts w:ascii="Arial" w:cs="Arial" w:eastAsia="Arial" w:hAnsi="Arial"/>
          <w:b/>
          <w:bCs/>
          <w:color w:val="0D2B4E"/>
          <w:sz w:val="36"/>
          <w:szCs w:val="36"/>
        </w:rPr>
        <w:t xml:space="preserve">12. About Abhigya AI Lab</w:t>
      </w:r>
    </w:p>
    <w:p>
      <w:pPr>
        <w:pBdr>
          <w:bottom w:val="single" w:color="0A7EA4" w:sz="4" w:space="1"/>
        </w:pBdr>
        <w:spacing w:after="80" w:before="80"/>
      </w:pPr>
      <w:r>
        <w:t xml:space="preserve"/>
      </w:r>
    </w:p>
    <w:p>
      <w:pPr>
        <w:spacing w:after="0" w:before="8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single" w:color="C8A84B" w:sz="16"/>
              <w:bottom w:val="none" w:color="FFFFFF" w:sz="0"/>
              <w:right w:val="none" w:color="FFFFFF" w:sz="0"/>
            </w:tcBorders>
            <w:shd w:fill="FDF6E3" w:val="clear"/>
            <w:tcMar>
              <w:top w:type="dxa" w:w="180"/>
              <w:left w:type="dxa" w:w="240"/>
              <w:bottom w:type="dxa" w:w="180"/>
              <w:right w:type="dxa" w:w="240"/>
            </w:tcMar>
          </w:tcPr>
          <w:p>
            <w:r>
              <w:rPr>
                <w:rFonts w:ascii="Arial" w:cs="Arial" w:eastAsia="Arial" w:hAnsi="Arial"/>
                <w:b/>
                <w:bCs/>
                <w:color w:val="0D2B4E"/>
                <w:sz w:val="28"/>
                <w:szCs w:val="28"/>
              </w:rPr>
              <w:t xml:space="preserve">Abhigya AI Lab</w:t>
            </w:r>
          </w:p>
          <w:p>
            <w:pPr>
              <w:spacing w:after="0" w:before="60"/>
            </w:pPr>
            <w:r>
              <w:t xml:space="preserve"/>
            </w:r>
          </w:p>
          <w:p>
            <w:pPr>
              <w:spacing w:before="60"/>
            </w:pPr>
            <w:r>
              <w:rPr>
                <w:rFonts w:ascii="Arial" w:cs="Arial" w:eastAsia="Arial" w:hAnsi="Arial"/>
                <w:color w:val="2C2C2C"/>
                <w:sz w:val="21"/>
                <w:szCs w:val="21"/>
              </w:rPr>
              <w:t xml:space="preserve">Abhigya AI Lab is a specialist AI consultancy and research practice focused on designing and delivering enterprise-grade AI systems. Our work spans Agentic AI architecture, Knowledge Graph engineering, semantic data modeling, and AI/ML programme delivery.</w:t>
            </w:r>
          </w:p>
          <w:p>
            <w:pPr>
              <w:spacing w:after="0" w:before="60"/>
            </w:pPr>
            <w:r>
              <w:t xml:space="preserve"/>
            </w:r>
          </w:p>
          <w:p>
            <w:pPr>
              <w:spacing w:before="60"/>
            </w:pPr>
            <w:r>
              <w:rPr>
                <w:rFonts w:ascii="Arial" w:cs="Arial" w:eastAsia="Arial" w:hAnsi="Arial"/>
                <w:color w:val="2C2C2C"/>
                <w:sz w:val="21"/>
                <w:szCs w:val="21"/>
              </w:rPr>
              <w:t xml:space="preserve">We work with engineering leaders, technology executives, and enterprise teams to translate complex AI capabilities into reliable, production-ready solutions — and to build the internal capability to sustain them.</w:t>
            </w:r>
          </w:p>
          <w:p>
            <w:pPr>
              <w:spacing w:after="0" w:before="80"/>
            </w:pPr>
            <w:r>
              <w:t xml:space="preserve"/>
            </w:r>
          </w:p>
          <w:p>
            <w:pPr>
              <w:spacing w:before="60"/>
            </w:pPr>
            <w:r>
              <w:rPr>
                <w:rFonts w:ascii="Arial" w:cs="Arial" w:eastAsia="Arial" w:hAnsi="Arial"/>
                <w:b/>
                <w:bCs/>
                <w:color w:val="0D2B4E"/>
                <w:sz w:val="21"/>
                <w:szCs w:val="21"/>
              </w:rPr>
              <w:t xml:space="preserve">Services: </w:t>
            </w:r>
            <w:r>
              <w:rPr>
                <w:rFonts w:ascii="Arial" w:cs="Arial" w:eastAsia="Arial" w:hAnsi="Arial"/>
                <w:color w:val="2C2C2C"/>
                <w:sz w:val="21"/>
                <w:szCs w:val="21"/>
              </w:rPr>
              <w:t xml:space="preserve">AI Architecture &amp; Design  |  Enterprise AI Strategy  |  AI/ML Training &amp; Enablement  |  FinOps AI Solutions  |  Knowledge Graph Engineering</w:t>
            </w:r>
          </w:p>
          <w:p>
            <w:pPr>
              <w:spacing w:after="0" w:before="60"/>
            </w:pPr>
            <w:r>
              <w:t xml:space="preserve"/>
            </w:r>
          </w:p>
          <w:p>
            <w:pPr>
              <w:spacing w:before="60"/>
            </w:pPr>
            <w:r>
              <w:rPr>
                <w:rFonts w:ascii="Arial" w:cs="Arial" w:eastAsia="Arial" w:hAnsi="Arial"/>
                <w:b/>
                <w:bCs/>
                <w:color w:val="0D2B4E"/>
                <w:sz w:val="21"/>
                <w:szCs w:val="21"/>
              </w:rPr>
              <w:t xml:space="preserve">Contact: </w:t>
            </w:r>
            <w:r>
              <w:rPr>
                <w:rFonts w:ascii="Arial" w:cs="Arial" w:eastAsia="Arial" w:hAnsi="Arial"/>
                <w:color w:val="0A7EA4"/>
                <w:sz w:val="21"/>
                <w:szCs w:val="21"/>
              </w:rPr>
              <w:t xml:space="preserve">abhigyaailab.github.io</w:t>
            </w:r>
          </w:p>
        </w:tc>
      </w:tr>
    </w:tbl>
    <w:p>
      <w:pPr>
        <w:spacing w:after="0" w:before="200"/>
      </w:pPr>
      <w:r>
        <w:t xml:space="preserve"/>
      </w:r>
    </w:p>
    <w:p>
      <w:pPr>
        <w:pBdr>
          <w:bottom w:val="single" w:color="C8A84B" w:sz="4" w:space="1"/>
        </w:pBdr>
        <w:spacing w:after="80" w:before="80"/>
      </w:pPr>
      <w:r>
        <w:t xml:space="preserve"/>
      </w:r>
    </w:p>
    <w:p>
      <w:pPr>
        <w:spacing w:after="0" w:before="80"/>
      </w:pPr>
      <w:r>
        <w:t xml:space="preserve"/>
      </w:r>
    </w:p>
    <w:p>
      <w:pPr>
        <w:jc w:val="center"/>
      </w:pPr>
      <w:r>
        <w:rPr>
          <w:rFonts w:ascii="Arial" w:cs="Arial" w:eastAsia="Arial" w:hAnsi="Arial"/>
          <w:i/>
          <w:iCs/>
          <w:color w:val="5A6370"/>
          <w:sz w:val="18"/>
          <w:szCs w:val="18"/>
        </w:rPr>
        <w:t xml:space="preserve">© Abhigya AI Lab. This whitepaper is published for portfolio and educational purposes. Architecture patterns, implementation methodologies, and proprietary algorithms remain the intellectual property of Abhigya AI Lab.</w:t>
      </w:r>
    </w:p>
    <w:p>
      <w:pPr>
        <w:spacing w:after="0" w:before="40"/>
      </w:pPr>
      <w:r>
        <w:t xml:space="preserve"/>
      </w:r>
    </w:p>
    <w:p>
      <w:pPr>
        <w:jc w:val="center"/>
      </w:pPr>
      <w:r>
        <w:rPr>
          <w:rFonts w:ascii="Arial" w:cs="Arial" w:eastAsia="Arial" w:hAnsi="Arial"/>
          <w:b/>
          <w:bCs/>
          <w:color w:val="0A7EA4"/>
          <w:sz w:val="18"/>
          <w:szCs w:val="18"/>
        </w:rPr>
        <w:t xml:space="preserve">abhigyaailab.github.io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760"/>
      <w:gridCol w:w="5040"/>
    </w:tblGrid>
    <w:tr>
      <w:tc>
        <w:tcPr>
          <w:tcW w:type="dxa" w:w="5760"/>
          <w:tcBorders>
            <w:top w:val="single" w:color="C8A84B" w:sz="4" w:space="1"/>
            <w:left w:val="none" w:color="FFFFFF" w:sz="0"/>
            <w:bottom w:val="none" w:color="FFFFFF" w:sz="0"/>
            <w:right w:val="none" w:color="FFFFFF" w:sz="0"/>
          </w:tcBorders>
        </w:tcPr>
        <w:p>
          <w:r>
            <w:rPr>
              <w:rFonts w:ascii="Arial" w:cs="Arial" w:eastAsia="Arial" w:hAnsi="Arial"/>
              <w:color w:val="5A6370"/>
              <w:sz w:val="17"/>
              <w:szCs w:val="17"/>
            </w:rPr>
            <w:t xml:space="preserve">© Abhigya AI Lab. All rights reserved.  |  abhigyaailab.github.io</w:t>
          </w:r>
        </w:p>
      </w:tc>
      <w:tc>
        <w:tcPr>
          <w:tcW w:type="dxa" w:w="5040"/>
          <w:tcBorders>
            <w:top w:val="single" w:color="C8A84B" w:sz="4" w:space="1"/>
            <w:left w:val="none" w:color="FFFFFF" w:sz="0"/>
            <w:bottom w:val="none" w:color="FFFFFF" w:sz="0"/>
            <w:right w:val="none" w:color="FFFFFF" w:sz="0"/>
          </w:tcBorders>
        </w:tcPr>
        <w:p>
          <w:pPr>
            <w:jc w:val="right"/>
          </w:pPr>
          <w:r>
            <w:rPr>
              <w:rFonts w:ascii="Arial" w:cs="Arial" w:eastAsia="Arial" w:hAnsi="Arial"/>
              <w:color w:val="5A6370"/>
              <w:sz w:val="17"/>
              <w:szCs w:val="17"/>
            </w:rPr>
            <w:t xml:space="preserve">Confidential  |  abhigyaailab.github.io</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480"/>
      <w:gridCol w:w="4320"/>
    </w:tblGrid>
    <w:tr>
      <w:tc>
        <w:tcPr>
          <w:tcW w:type="dxa" w:w="6480"/>
          <w:tcBorders>
            <w:top w:val="none" w:color="FFFFFF" w:sz="0"/>
            <w:left w:val="none" w:color="FFFFFF" w:sz="0"/>
            <w:bottom w:val="single" w:color="0A7EA4" w:sz="4" w:space="1"/>
            <w:right w:val="none" w:color="FFFFFF" w:sz="0"/>
          </w:tcBorders>
        </w:tcPr>
        <w:p>
          <w:r>
            <w:rPr>
              <w:rFonts w:ascii="Arial" w:cs="Arial" w:eastAsia="Arial" w:hAnsi="Arial"/>
              <w:color w:val="5A6370"/>
              <w:sz w:val="18"/>
              <w:szCs w:val="18"/>
            </w:rPr>
            <w:t xml:space="preserve">Abhigya AI Lab  |  Enterprise FinOps Agentic AI Platform</w:t>
          </w:r>
        </w:p>
      </w:tc>
      <w:tc>
        <w:tcPr>
          <w:tcW w:type="dxa" w:w="4320"/>
          <w:tcBorders>
            <w:top w:val="none" w:color="FFFFFF" w:sz="0"/>
            <w:left w:val="none" w:color="FFFFFF" w:sz="0"/>
            <w:bottom w:val="single" w:color="0A7EA4" w:sz="4" w:space="1"/>
            <w:right w:val="none" w:color="FFFFFF" w:sz="0"/>
          </w:tcBorders>
        </w:tcPr>
        <w:p>
          <w:pPr>
            <w:jc w:val="right"/>
          </w:pPr>
          <w:r>
            <w:rPr>
              <w:rFonts w:ascii="Arial" w:cs="Arial" w:eastAsia="Arial" w:hAnsi="Arial"/>
              <w:b/>
              <w:bCs/>
              <w:color w:val="0A7EA4"/>
              <w:sz w:val="18"/>
              <w:szCs w:val="18"/>
            </w:rPr>
            <w:t xml:space="preserve">Case Study Whitepaper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2B4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A7EA4"/>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D2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2026-06-25T06:34:29.715Z</dcterms:created>
  <dcterms:modified xsi:type="dcterms:W3CDTF">2026-06-25T06:34:29.716Z</dcterms:modified>
</cp:coreProperties>
</file>

<file path=docProps/custom.xml><?xml version="1.0" encoding="utf-8"?>
<Properties xmlns="http://schemas.openxmlformats.org/officeDocument/2006/custom-properties" xmlns:vt="http://schemas.openxmlformats.org/officeDocument/2006/docPropsVTypes"/>
</file>