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28"/>
          <w:szCs w:val="28"/>
        </w:rPr>
        <w:spacing w:after="100" w:before="80" w:line="260" w:lineRule="auto"/>
        <w:keepNext/>
      </w:pPr>
      <w:r>
        <w:rPr>
          <w:rFonts w:ascii="Arial" w:hAnsi="Arial"/>
          <w:sz w:val="22"/>
          <w:color w:val="000000"/>
          <w:b/>
        </w:rPr>
        <w:t>Ideation Phase-(1)</w:t>
      </w:r>
    </w:p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28"/>
          <w:szCs w:val="28"/>
        </w:rPr>
        <w:spacing w:after="100" w:before="0" w:line="260" w:lineRule="auto"/>
        <w:pStyle w:val="Title"/>
        <w:jc w:val="center"/>
        <w:keepNext/>
      </w:pPr>
      <w:r>
        <w:rPr>
          <w:rFonts w:ascii="Arial" w:hAnsi="Arial"/>
          <w:sz w:val="24"/>
          <w:color w:val="000000"/>
          <w:b/>
        </w:rPr>
        <w:t>StaffSync Problem Statements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ID:</w:t>
            </w:r>
          </w:p>
        </w:tc>
        <w:tc>
          <w:tcPr/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Not assigned — individual project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StaffSync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28"/>
          <w:szCs w:val="28"/>
        </w:rPr>
        <w:spacing w:after="100" w:before="0" w:line="260" w:lineRule="auto"/>
      </w:pPr>
      <w:r>
        <w:rPr>
          <w:rFonts w:ascii="Arial" w:hAnsi="Arial"/>
          <w:sz w:val="22"/>
          <w:color w:val="000000"/>
        </w:rPr>
        <w:t>Prepared by Abhigyan Dwivedi · Individual capstone</w:t>
      </w:r>
    </w:p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28"/>
          <w:szCs w:val="28"/>
        </w:rPr>
        <w:spacing w:after="100" w:before="80" w:line="260" w:lineRule="auto"/>
        <w:keepNext/>
      </w:pPr>
      <w:r>
        <w:rPr>
          <w:rFonts w:ascii="Arial" w:hAnsi="Arial"/>
          <w:sz w:val="22"/>
          <w:color w:val="000000"/>
          <w:b/>
        </w:rPr>
        <w:t>Customer problem statements</w:t>
      </w:r>
    </w:p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28"/>
          <w:szCs w:val="28"/>
        </w:rPr>
        <w:spacing w:after="100" w:before="0" w:line="260" w:lineRule="auto"/>
      </w:pPr>
      <w:r>
        <w:rPr>
          <w:rFonts w:ascii="Arial" w:hAnsi="Arial"/>
          <w:sz w:val="22"/>
          <w:color w:val="000000"/>
        </w:rPr>
        <w:t>StaffSync addresses scattered employee records, attendance spreadsheets and leave approvals handled through separate messages. These are design assumptions based on the project brief, not findings from interviews.</w:t>
      </w:r>
    </w:p>
    <w:tbl>
      <w:tblPr>
        <w:tblStyle w:val="Table2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ook w:val="0400"/>
        <w:tblW w:w="0" w:type="auto"/>
        <w:tblLayout w:type="fixed"/>
        <w:tblCellMar>
          <w:top w:w="65" w:type="dxa"/>
          <w:left w:w="65" w:type="dxa"/>
          <w:bottom w:w="65" w:type="dxa"/>
          <w:right w:w="65" w:type="dxa"/>
        </w:tblCellMar>
      </w:tblPr>
      <w:tblGrid>
        <w:gridCol w:w="1039"/>
        <w:gridCol w:w="1338"/>
        <w:gridCol w:w="1737"/>
        <w:gridCol w:w="1851"/>
        <w:gridCol w:w="1538"/>
        <w:gridCol w:w="1525"/>
      </w:tblGrid>
      <w:tr>
        <w:trPr>
          <w:cantSplit/>
          <w:tblHeader/>
        </w:trPr>
        <w:tc>
          <w:tcPr>
            <w:tcW w:w="1039" w:type="dxa"/>
            <w:shd w:fill="F2F2F2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Problem</w:t>
            </w:r>
          </w:p>
        </w:tc>
        <w:tc>
          <w:tcPr>
            <w:tcW w:w="1338" w:type="dxa"/>
            <w:shd w:fill="F2F2F2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User</w:t>
            </w:r>
          </w:p>
        </w:tc>
        <w:tc>
          <w:tcPr>
            <w:tcW w:w="1737" w:type="dxa"/>
            <w:shd w:fill="F2F2F2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Goal</w:t>
            </w:r>
          </w:p>
        </w:tc>
        <w:tc>
          <w:tcPr>
            <w:tcW w:w="1851" w:type="dxa"/>
            <w:shd w:fill="F2F2F2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Obstacle</w:t>
            </w:r>
          </w:p>
        </w:tc>
        <w:tc>
          <w:tcPr>
            <w:tcW w:w="1538" w:type="dxa"/>
            <w:shd w:fill="F2F2F2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Cause</w:t>
            </w:r>
          </w:p>
        </w:tc>
        <w:tc>
          <w:tcPr>
            <w:tcW w:w="1525" w:type="dxa"/>
            <w:shd w:fill="F2F2F2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Effect</w:t>
            </w:r>
          </w:p>
        </w:tc>
      </w:tr>
      <w:tr>
        <w:trPr>
          <w:cantSplit/>
        </w:trPr>
        <w:tc>
          <w:tcPr>
            <w:tcW w:w="1039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PS-1</w:t>
            </w:r>
          </w:p>
        </w:tc>
        <w:tc>
          <w:tcPr>
            <w:tcW w:w="1338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HR</w:t>
            </w:r>
          </w:p>
        </w:tc>
        <w:tc>
          <w:tcPr>
            <w:tcW w:w="1737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Keep records accurate</w:t>
            </w:r>
          </w:p>
        </w:tc>
        <w:tc>
          <w:tcPr>
            <w:tcW w:w="1851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Data scattered across files</w:t>
            </w:r>
          </w:p>
        </w:tc>
        <w:tc>
          <w:tcPr>
            <w:tcW w:w="1538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No shared record system</w:t>
            </w:r>
          </w:p>
        </w:tc>
        <w:tc>
          <w:tcPr>
            <w:tcW w:w="1525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Repeated work and errors</w:t>
            </w:r>
          </w:p>
        </w:tc>
      </w:tr>
      <w:tr>
        <w:trPr>
          <w:cantSplit/>
        </w:trPr>
        <w:tc>
          <w:tcPr>
            <w:tcW w:w="1039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PS-2</w:t>
            </w:r>
          </w:p>
        </w:tc>
        <w:tc>
          <w:tcPr>
            <w:tcW w:w="1338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Employee</w:t>
            </w:r>
          </w:p>
        </w:tc>
        <w:tc>
          <w:tcPr>
            <w:tcW w:w="1737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Know leave status</w:t>
            </w:r>
          </w:p>
        </w:tc>
        <w:tc>
          <w:tcPr>
            <w:tcW w:w="1851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Approvals unclear</w:t>
            </w:r>
          </w:p>
        </w:tc>
        <w:tc>
          <w:tcPr>
            <w:tcW w:w="1538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Requests handled in messages</w:t>
            </w:r>
          </w:p>
        </w:tc>
        <w:tc>
          <w:tcPr>
            <w:tcW w:w="1525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Uncertainty and follow-ups</w:t>
            </w:r>
          </w:p>
        </w:tc>
      </w:tr>
      <w:tr>
        <w:trPr>
          <w:cantSplit/>
        </w:trPr>
        <w:tc>
          <w:tcPr>
            <w:tcW w:w="1039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PS-3</w:t>
            </w:r>
          </w:p>
        </w:tc>
        <w:tc>
          <w:tcPr>
            <w:tcW w:w="1338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Manager</w:t>
            </w:r>
          </w:p>
        </w:tc>
        <w:tc>
          <w:tcPr>
            <w:tcW w:w="1737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Coordinate team capacity</w:t>
            </w:r>
          </w:p>
        </w:tc>
        <w:tc>
          <w:tcPr>
            <w:tcW w:w="1851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Attendance and training separated</w:t>
            </w:r>
          </w:p>
        </w:tc>
        <w:tc>
          <w:tcPr>
            <w:tcW w:w="1538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Limited team visibility</w:t>
            </w:r>
          </w:p>
        </w:tc>
        <w:tc>
          <w:tcPr>
            <w:tcW w:w="1525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Slow decisions</w:t>
            </w:r>
          </w:p>
        </w:tc>
      </w:tr>
    </w:tbl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28"/>
          <w:szCs w:val="28"/>
        </w:rPr>
        <w:spacing w:after="100" w:before="0" w:line="260" w:lineRule="auto"/>
      </w:pPr>
      <w:r>
        <w:rPr>
          <w:rFonts w:ascii="Arial" w:hAnsi="Arial"/>
          <w:sz w:val="22"/>
          <w:color w:val="000000"/>
        </w:rPr>
        <w:t/>
      </w:r>
    </w:p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28"/>
          <w:szCs w:val="28"/>
        </w:rPr>
        <w:spacing w:after="100" w:before="0" w:line="260" w:lineRule="auto"/>
      </w:pPr>
      <w:r>
        <w:rPr>
          <w:rFonts w:ascii="Arial" w:hAnsi="Arial"/>
          <w:sz w:val="22"/>
          <w:color w:val="000000"/>
        </w:rPr>
        <w:t>Intended outcome: one role-aware workspace for employee records, attendance, leave, announcements and training. Payroll calculation and payment processing are outside scope.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8" Type="http://schemas.openxmlformats.org/officeDocument/2006/relationships/hyperlink" Target="https://miro.com/templates/customer-problem-stat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+C/h4mGRhhFV+s1gJpU/KbzRFg==">CgMxLjA4AHIhMXdnS0g2aGgyaTEtNHdKUktJTjMzUjBvWVdwZ0Nwbnpi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