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Requirement Analysis(3)</w:t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0" w:line="260" w:lineRule="auto"/>
        <w:pStyle w:val="Title"/>
        <w:jc w:val="center"/>
        <w:keepNext/>
      </w:pPr>
      <w:r>
        <w:rPr>
          <w:rFonts w:ascii="Arial" w:hAnsi="Arial"/>
          <w:sz w:val="24"/>
          <w:color w:val="000000"/>
          <w:b/>
        </w:rPr>
        <w:t>StaffSync Data Flow and User Stories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Not assigned — 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Prepared by Abhigyan Dwivedi · Individual capstone</w:t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Data flow diagrams</w:t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The context diagram shows HR, Employee and Manager exchanging requests and results with StaffSync. The internal flow retains one React frontend, Express REST API and MongoDB through Mongoose.</w:t>
      </w:r>
    </w:p>
    <w:p>
      <w:r>
        <w:drawing>
          <wp:inline distT="0" distB="0" distL="0" distR="0">
            <wp:extent cx="9237345" cy="5080539"/>
            <wp:docPr id="90" name="StaffSync diagram"/>
            <a:graphic>
              <a:graphicData uri="http://schemas.openxmlformats.org/drawingml/2006/picture">
                <pic:pic>
                  <pic:nvPicPr>
                    <pic:cNvPr id="0" name="StaffSync 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80" w:line="260" w:lineRule="auto"/>
        <w:keepNext/>
      </w:pPr>
      <w:r>
        <w:rPr>
          <w:rFonts w:ascii="Arial" w:hAnsi="Arial"/>
          <w:sz w:val="22"/>
          <w:color w:val="000000"/>
          <w:b/>
        </w:rPr>
        <w:t>User stories and acceptance criteria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ook w:val="0400"/>
        <w:tblW w:w="0" w:type="auto"/>
        <w:tblLayout w:type="fixed"/>
        <w:tblCellMar>
          <w:top w:w="65" w:type="dxa"/>
          <w:left w:w="65" w:type="dxa"/>
          <w:bottom w:w="65" w:type="dxa"/>
          <w:right w:w="65" w:type="dxa"/>
        </w:tblCellMar>
      </w:tblPr>
      <w:tblGrid>
        <w:gridCol w:w="2096"/>
        <w:gridCol w:w="2616"/>
        <w:gridCol w:w="4331"/>
        <w:gridCol w:w="5503"/>
      </w:tblGrid>
      <w:tr>
        <w:trPr>
          <w:cantSplit/>
          <w:tblHeader/>
        </w:trPr>
        <w:tc>
          <w:tcPr>
            <w:tcW w:w="209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Role</w:t>
            </w:r>
          </w:p>
        </w:tc>
        <w:tc>
          <w:tcPr>
            <w:tcW w:w="2616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Epic</w:t>
            </w:r>
          </w:p>
        </w:tc>
        <w:tc>
          <w:tcPr>
            <w:tcW w:w="4331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Story</w:t>
            </w:r>
          </w:p>
        </w:tc>
        <w:tc>
          <w:tcPr>
            <w:tcW w:w="5503" w:type="dxa"/>
            <w:shd w:fill="F2F2F2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80" w:line="260" w:lineRule="auto"/>
              <w:keepNext/>
            </w:pPr>
            <w:r>
              <w:rPr>
                <w:rFonts w:ascii="Arial" w:hAnsi="Arial"/>
                <w:sz w:val="22"/>
                <w:color w:val="000000"/>
                <w:b/>
              </w:rPr>
              <w:t>Acceptance criteria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All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FR-1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Register and log in with a role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Valid account opens permitted dashboard; invalid credentials fail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FR-2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Maintain employee information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Authorized edits persist; employee cannot perform HR operations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FR-3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Mark daily attendance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One check-in and check-out per organization day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FR-4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Request leave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Invalid dates and overlapping active requests fail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or Manager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FR-4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Decide a leave request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or assigned manager can decide; unrelated manager cannot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 or Manager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FR-5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Post announcements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Only authorized authors publish; audience filters apply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Manager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FR-6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Assign training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Only own team members can be assigned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Employee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FR-6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Record training progress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Own assignment changes; response minimization remains a known issue</w:t>
            </w:r>
          </w:p>
        </w:tc>
      </w:tr>
      <w:tr>
        <w:trPr>
          <w:cantSplit/>
        </w:trPr>
        <w:tc>
          <w:tcPr>
            <w:tcW w:w="209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HR</w:t>
            </w:r>
          </w:p>
        </w:tc>
        <w:tc>
          <w:tcPr>
            <w:tcW w:w="2616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FR-6</w:t>
            </w:r>
          </w:p>
        </w:tc>
        <w:tc>
          <w:tcPr>
            <w:tcW w:w="4331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Export attendance</w:t>
            </w:r>
          </w:p>
        </w:tc>
        <w:tc>
          <w:tcPr>
            <w:tcW w:w="5503" w:type="dxa"/>
          </w:tcPr>
          <w:p w:rsidR="00000000" w:rsidDel="00000000" w:rsidP="00000000" w:rsidRDefault="00000000" w:rsidRPr="00000000" w14:paraId="0000000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  <w:spacing w:after="100" w:before="0" w:line="260" w:lineRule="auto"/>
            </w:pPr>
            <w:r>
              <w:rPr>
                <w:rFonts w:ascii="Arial" w:hAnsi="Arial"/>
                <w:sz w:val="22"/>
                <w:color w:val="000000"/>
              </w:rPr>
              <w:t>Authorized report produces CSV with selected data</w:t>
            </w:r>
          </w:p>
        </w:tc>
      </w:tr>
    </w:tbl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/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</w:rPr>
        <w:spacing w:after="100" w:before="0" w:line="260" w:lineRule="auto"/>
      </w:pPr>
      <w:r>
        <w:rPr>
          <w:rFonts w:ascii="Arial" w:hAnsi="Arial"/>
          <w:sz w:val="22"/>
          <w:color w:val="000000"/>
        </w:rPr>
        <w:t>Data stores: User credentials and roles; Employee profiles and manager links; LeaveRequest decisions; Attendance dates and times; Announcement audiences; TrainingProgram assignments. Notification recipient links and Audit events support these workflows. Database secrets stay in server environment variables.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/boSnz8Pk1Vr1xt8c9CuTcWWA==">CgMxLjA4AHIhMXVFWEptTHE1Uzc0Z1BvblJRMU5wS1lLRklwbWpMVzZB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Abhigyan Dwivedi</dc:creator>
</cp:coreProperties>
</file>