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Requirement Analysis(3)</w:t>
      </w:r>
    </w:p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  <w:spacing w:after="100" w:before="0" w:line="260" w:lineRule="auto"/>
        <w:pStyle w:val="Title"/>
        <w:jc w:val="center"/>
        <w:keepNext/>
      </w:pPr>
      <w:r>
        <w:rPr>
          <w:rFonts w:ascii="Arial" w:hAnsi="Arial"/>
          <w:sz w:val="24"/>
          <w:color w:val="000000"/>
          <w:b/>
        </w:rPr>
        <w:t>StaffSync Technology Stack</w:t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assigned — 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Prepared by Abhigyan Dwivedi · Individual capstone</w:t>
      </w:r>
    </w:p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Technical architecture</w:t>
      </w:r>
    </w:p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StaffSync uses the required MERN three-tier architecture: React presentation, Node.js/Express application logic and MongoDB persistence through Mongoose. The existing stack is retained.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1145"/>
        <w:gridCol w:w="2382"/>
        <w:gridCol w:w="2478"/>
        <w:gridCol w:w="3023"/>
      </w:tblGrid>
      <w:tr>
        <w:trPr>
          <w:cantSplit/>
          <w:tblHeader/>
        </w:trPr>
        <w:tc>
          <w:tcPr>
            <w:tcW w:w="1145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No.</w:t>
            </w:r>
          </w:p>
        </w:tc>
        <w:tc>
          <w:tcPr>
            <w:tcW w:w="2382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Component</w:t>
            </w:r>
          </w:p>
        </w:tc>
        <w:tc>
          <w:tcPr>
            <w:tcW w:w="2478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Purpose</w:t>
            </w:r>
          </w:p>
        </w:tc>
        <w:tc>
          <w:tcPr>
            <w:tcW w:w="3023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Technology</w:t>
            </w:r>
          </w:p>
        </w:tc>
      </w:tr>
      <w:tr>
        <w:trPr>
          <w:cantSplit/>
        </w:trPr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1</w:t>
            </w:r>
          </w:p>
        </w:tc>
        <w:tc>
          <w:tcPr>
            <w:tcW w:w="2382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Frontend</w:t>
            </w:r>
          </w:p>
        </w:tc>
        <w:tc>
          <w:tcPr>
            <w:tcW w:w="247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Role dashboards, forms and charts</w:t>
            </w:r>
          </w:p>
        </w:tc>
        <w:tc>
          <w:tcPr>
            <w:tcW w:w="3023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React, Vite, Material UI, Redux Toolkit, React Router, Axios, Recharts</w:t>
            </w:r>
          </w:p>
        </w:tc>
      </w:tr>
      <w:tr>
        <w:trPr>
          <w:cantSplit/>
        </w:trPr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2</w:t>
            </w:r>
          </w:p>
        </w:tc>
        <w:tc>
          <w:tcPr>
            <w:tcW w:w="2382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Backend</w:t>
            </w:r>
          </w:p>
        </w:tc>
        <w:tc>
          <w:tcPr>
            <w:tcW w:w="247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REST endpoints and business rules</w:t>
            </w:r>
          </w:p>
        </w:tc>
        <w:tc>
          <w:tcPr>
            <w:tcW w:w="3023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Node.js, Express, Zod</w:t>
            </w:r>
          </w:p>
        </w:tc>
      </w:tr>
      <w:tr>
        <w:trPr>
          <w:cantSplit/>
        </w:trPr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3</w:t>
            </w:r>
          </w:p>
        </w:tc>
        <w:tc>
          <w:tcPr>
            <w:tcW w:w="2382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Authentication</w:t>
            </w:r>
          </w:p>
        </w:tc>
        <w:tc>
          <w:tcPr>
            <w:tcW w:w="247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Password and session controls</w:t>
            </w:r>
          </w:p>
        </w:tc>
        <w:tc>
          <w:tcPr>
            <w:tcW w:w="3023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bcrypt, JWT, HTTP-only cookie or Bearer token</w:t>
            </w:r>
          </w:p>
        </w:tc>
      </w:tr>
      <w:tr>
        <w:trPr>
          <w:cantSplit/>
        </w:trPr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4</w:t>
            </w:r>
          </w:p>
        </w:tc>
        <w:tc>
          <w:tcPr>
            <w:tcW w:w="2382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Persistence</w:t>
            </w:r>
          </w:p>
        </w:tc>
        <w:tc>
          <w:tcPr>
            <w:tcW w:w="247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Schemas, references and indexes</w:t>
            </w:r>
          </w:p>
        </w:tc>
        <w:tc>
          <w:tcPr>
            <w:tcW w:w="3023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MongoDB and Mongoose</w:t>
            </w:r>
          </w:p>
        </w:tc>
      </w:tr>
      <w:tr>
        <w:trPr>
          <w:cantSplit/>
        </w:trPr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5</w:t>
            </w:r>
          </w:p>
        </w:tc>
        <w:tc>
          <w:tcPr>
            <w:tcW w:w="2382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Files and notifications</w:t>
            </w:r>
          </w:p>
        </w:tc>
        <w:tc>
          <w:tcPr>
            <w:tcW w:w="247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Profile photos and live refresh</w:t>
            </w:r>
          </w:p>
        </w:tc>
        <w:tc>
          <w:tcPr>
            <w:tcW w:w="3023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Multer, backend filesystem, server-sent events</w:t>
            </w:r>
          </w:p>
        </w:tc>
      </w:tr>
      <w:tr>
        <w:trPr>
          <w:cantSplit/>
        </w:trPr>
        <w:tc>
          <w:tcPr>
            <w:tcW w:w="1145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6</w:t>
            </w:r>
          </w:p>
        </w:tc>
        <w:tc>
          <w:tcPr>
            <w:tcW w:w="2382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Verification</w:t>
            </w:r>
          </w:p>
        </w:tc>
        <w:tc>
          <w:tcPr>
            <w:tcW w:w="2478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Isolated API checks and browser workflows</w:t>
            </w:r>
          </w:p>
        </w:tc>
        <w:tc>
          <w:tcPr>
            <w:tcW w:w="3023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Node test runner, Supertest, Playwright</w:t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Application characteristics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3027"/>
        <w:gridCol w:w="6002"/>
      </w:tblGrid>
      <w:tr>
        <w:trPr>
          <w:cantSplit/>
          <w:tblHeader/>
        </w:trPr>
        <w:tc>
          <w:tcPr>
            <w:tcW w:w="3027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Characteristic</w:t>
            </w:r>
          </w:p>
        </w:tc>
        <w:tc>
          <w:tcPr>
            <w:tcW w:w="6002" w:type="dxa"/>
            <w:shd w:fill="F2F2F2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Implementation</w:t>
            </w:r>
          </w:p>
        </w:tc>
      </w:tr>
      <w:tr>
        <w:trPr>
          <w:cantSplit/>
        </w:trPr>
        <w:tc>
          <w:tcPr>
            <w:tcW w:w="3027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Modularity</w:t>
            </w:r>
          </w:p>
        </w:tc>
        <w:tc>
          <w:tcPr>
            <w:tcW w:w="6002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Separate routes, controllers, middleware, models, services and database configuration</w:t>
            </w:r>
          </w:p>
        </w:tc>
      </w:tr>
      <w:tr>
        <w:trPr>
          <w:cantSplit/>
        </w:trPr>
        <w:tc>
          <w:tcPr>
            <w:tcW w:w="3027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Presentation</w:t>
            </w:r>
          </w:p>
        </w:tc>
        <w:tc>
          <w:tcPr>
            <w:tcW w:w="6002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Responsive teal interface, light/dark modes and role-specific navigation</w:t>
            </w:r>
          </w:p>
        </w:tc>
      </w:tr>
      <w:tr>
        <w:trPr>
          <w:cantSplit/>
        </w:trPr>
        <w:tc>
          <w:tcPr>
            <w:tcW w:w="3027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Deployment</w:t>
            </w:r>
          </w:p>
        </w:tc>
        <w:tc>
          <w:tcPr>
            <w:tcW w:w="6002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Render Free and Atlas Free for a fictional-data demo</w:t>
            </w:r>
          </w:p>
        </w:tc>
      </w:tr>
      <w:tr>
        <w:trPr>
          <w:cantSplit/>
        </w:trPr>
        <w:tc>
          <w:tcPr>
            <w:tcW w:w="3027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Local prerequisites</w:t>
            </w:r>
          </w:p>
        </w:tc>
        <w:tc>
          <w:tcPr>
            <w:tcW w:w="6002" w:type="dxa"/>
          </w:tcPr>
          <w:p w:rsidR="00000000" w:rsidDel="00000000" w:rsidP="00000000" w:rsidRDefault="00000000" w:rsidRPr="00000000" w14:paraId="00000001">
            <w:pPr>
              <w:rPr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Node.js 22.12 or newer, npm and a modern browser; first embedded database use requires a download</w:t>
            </w:r>
          </w:p>
        </w:tc>
      </w:tr>
    </w:tbl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hyperlink" Target="https://www.npmjs.com/package/json-serv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nodejs.org/en/learn/getting-started/introduction-to-node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