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EAE07" w14:textId="77777777" w:rsidR="00DF719F" w:rsidRPr="00DF719F" w:rsidRDefault="00DF719F" w:rsidP="00DF719F">
      <w:pPr>
        <w:jc w:val="center"/>
        <w:rPr>
          <w:b/>
          <w:bCs/>
        </w:rPr>
      </w:pPr>
      <w:r w:rsidRPr="00DF719F">
        <w:rPr>
          <w:b/>
          <w:bCs/>
        </w:rPr>
        <w:t>Battery Degradation Modeling, Anomaly Detection, and Remaining Useful Life Estimation</w:t>
      </w:r>
    </w:p>
    <w:p w14:paraId="12F6E6A9" w14:textId="77777777" w:rsidR="00DF719F" w:rsidRPr="00DF719F" w:rsidRDefault="00000000" w:rsidP="00DF719F">
      <w:pPr>
        <w:jc w:val="both"/>
      </w:pPr>
      <w:r>
        <w:pict w14:anchorId="22EFFE87">
          <v:rect id="_x0000_i1025" style="width:0;height:1.5pt" o:hralign="center" o:hrstd="t" o:hr="t" fillcolor="#a0a0a0" stroked="f"/>
        </w:pict>
      </w:r>
    </w:p>
    <w:p w14:paraId="24FBAA01" w14:textId="77777777" w:rsidR="00DF719F" w:rsidRPr="00DF719F" w:rsidRDefault="00DF719F" w:rsidP="00DF719F">
      <w:pPr>
        <w:jc w:val="both"/>
        <w:rPr>
          <w:b/>
          <w:bCs/>
        </w:rPr>
      </w:pPr>
      <w:r w:rsidRPr="00DF719F">
        <w:rPr>
          <w:b/>
          <w:bCs/>
        </w:rPr>
        <w:t>1. Methodology</w:t>
      </w:r>
    </w:p>
    <w:p w14:paraId="65B59C36" w14:textId="1E51D872" w:rsidR="00DF719F" w:rsidRPr="00DF719F" w:rsidRDefault="00DF719F" w:rsidP="00DF719F">
      <w:pPr>
        <w:jc w:val="both"/>
      </w:pPr>
      <w:r w:rsidRPr="00DF719F">
        <w:t xml:space="preserve">This study presents an </w:t>
      </w:r>
      <w:r>
        <w:t>complete</w:t>
      </w:r>
      <w:r w:rsidRPr="00DF719F">
        <w:t xml:space="preserve"> analytical </w:t>
      </w:r>
      <w:r>
        <w:t>study</w:t>
      </w:r>
      <w:r w:rsidRPr="00DF719F">
        <w:t xml:space="preserve"> for lithium-ion </w:t>
      </w:r>
      <w:r>
        <w:t>cells</w:t>
      </w:r>
      <w:r w:rsidRPr="00DF719F">
        <w:t xml:space="preserve"> degradation analysis, anomaly detection, and remaining useful life (RUL) estimation using laboratory cycling data. The methodology integrates physics-based modeling, statistical analysis, and machine learning technique</w:t>
      </w:r>
      <w:r>
        <w:t>s.</w:t>
      </w:r>
    </w:p>
    <w:p w14:paraId="0336B822" w14:textId="77777777" w:rsidR="00DF719F" w:rsidRPr="00DF719F" w:rsidRDefault="00000000" w:rsidP="00DF719F">
      <w:pPr>
        <w:jc w:val="both"/>
      </w:pPr>
      <w:r>
        <w:pict w14:anchorId="6C04411B">
          <v:rect id="_x0000_i1026" style="width:0;height:1.5pt" o:hralign="center" o:hrstd="t" o:hr="t" fillcolor="#a0a0a0" stroked="f"/>
        </w:pict>
      </w:r>
    </w:p>
    <w:p w14:paraId="6542B522" w14:textId="77777777" w:rsidR="00DF719F" w:rsidRPr="00DF719F" w:rsidRDefault="00DF719F" w:rsidP="00DF719F">
      <w:pPr>
        <w:jc w:val="both"/>
        <w:rPr>
          <w:b/>
          <w:bCs/>
        </w:rPr>
      </w:pPr>
      <w:r w:rsidRPr="00DF719F">
        <w:rPr>
          <w:b/>
          <w:bCs/>
        </w:rPr>
        <w:t>1.1 Data Processing</w:t>
      </w:r>
    </w:p>
    <w:p w14:paraId="4B2BCFD1" w14:textId="77777777" w:rsidR="00DF719F" w:rsidRPr="00DF719F" w:rsidRDefault="00DF719F" w:rsidP="00DF719F">
      <w:pPr>
        <w:jc w:val="both"/>
        <w:rPr>
          <w:b/>
          <w:bCs/>
        </w:rPr>
      </w:pPr>
      <w:r w:rsidRPr="00DF719F">
        <w:rPr>
          <w:b/>
          <w:bCs/>
        </w:rPr>
        <w:t>Raw lab cycling data</w:t>
      </w:r>
    </w:p>
    <w:p w14:paraId="6AD05612" w14:textId="65053537" w:rsidR="00DF719F" w:rsidRPr="00DF719F" w:rsidRDefault="00DF719F" w:rsidP="00DF719F">
      <w:pPr>
        <w:jc w:val="both"/>
      </w:pPr>
      <w:r w:rsidRPr="00DF719F">
        <w:t xml:space="preserve">The dataset consists of laboratory cycling measurements collected from lithium-ion cells under controlled charge–discharge protocols. The raw data includes time-series signals such as voltage, current, capacity, and cycle index. These measurements </w:t>
      </w:r>
      <w:r>
        <w:t xml:space="preserve">provide </w:t>
      </w:r>
      <w:r w:rsidRPr="00DF719F">
        <w:t>operating conditions and provide insight into electrochemical aging behavior.</w:t>
      </w:r>
    </w:p>
    <w:p w14:paraId="03459DA7" w14:textId="77777777" w:rsidR="00DF719F" w:rsidRPr="00DF719F" w:rsidRDefault="00DF719F" w:rsidP="00DF719F">
      <w:pPr>
        <w:jc w:val="both"/>
        <w:rPr>
          <w:b/>
          <w:bCs/>
        </w:rPr>
      </w:pPr>
      <w:r w:rsidRPr="00DF719F">
        <w:rPr>
          <w:b/>
          <w:bCs/>
        </w:rPr>
        <w:t>Feature extraction</w:t>
      </w:r>
    </w:p>
    <w:p w14:paraId="20BDC5B2" w14:textId="4C505D8D" w:rsidR="00DF719F" w:rsidRPr="00DF719F" w:rsidRDefault="00DF719F" w:rsidP="00DF719F">
      <w:pPr>
        <w:jc w:val="both"/>
      </w:pPr>
      <w:r w:rsidRPr="00DF719F">
        <w:t>From the per-cycle data, the following features were extracted</w:t>
      </w:r>
      <w:r>
        <w:t xml:space="preserve">. The since initial capacity was not given it was assumed with dummy number. This can be changed upon getting the original value. As this parameter is </w:t>
      </w:r>
      <w:proofErr w:type="spellStart"/>
      <w:r>
        <w:t>changable</w:t>
      </w:r>
      <w:proofErr w:type="spellEnd"/>
      <w:r w:rsidRPr="00DF719F">
        <w:t>:</w:t>
      </w:r>
    </w:p>
    <w:p w14:paraId="2B55EFB8" w14:textId="77777777" w:rsidR="00DF719F" w:rsidRPr="00DF719F" w:rsidRDefault="00DF719F" w:rsidP="00DF719F">
      <w:pPr>
        <w:numPr>
          <w:ilvl w:val="0"/>
          <w:numId w:val="10"/>
        </w:numPr>
        <w:jc w:val="both"/>
      </w:pPr>
      <w:r w:rsidRPr="00DF719F">
        <w:rPr>
          <w:b/>
          <w:bCs/>
        </w:rPr>
        <w:t>Discharge capacity (Ah)</w:t>
      </w:r>
      <w:r w:rsidRPr="00DF719F">
        <w:t xml:space="preserve"> as the primary degradation indicator</w:t>
      </w:r>
    </w:p>
    <w:p w14:paraId="1ADA3D36" w14:textId="77777777" w:rsidR="00DF719F" w:rsidRPr="00DF719F" w:rsidRDefault="00DF719F" w:rsidP="00DF719F">
      <w:pPr>
        <w:numPr>
          <w:ilvl w:val="0"/>
          <w:numId w:val="10"/>
        </w:numPr>
        <w:jc w:val="both"/>
      </w:pPr>
      <w:r w:rsidRPr="00DF719F">
        <w:rPr>
          <w:b/>
          <w:bCs/>
        </w:rPr>
        <w:t>Coulombic efficiency (CE)</w:t>
      </w:r>
      <w:r w:rsidRPr="00DF719F">
        <w:t>, defined as the ratio of discharge to charge capacity</w:t>
      </w:r>
    </w:p>
    <w:p w14:paraId="416B1284" w14:textId="77777777" w:rsidR="00DF719F" w:rsidRPr="00DF719F" w:rsidRDefault="00DF719F" w:rsidP="00DF719F">
      <w:pPr>
        <w:numPr>
          <w:ilvl w:val="0"/>
          <w:numId w:val="10"/>
        </w:numPr>
        <w:jc w:val="both"/>
      </w:pPr>
      <w:r w:rsidRPr="00DF719F">
        <w:rPr>
          <w:b/>
          <w:bCs/>
        </w:rPr>
        <w:t>Energy throughput</w:t>
      </w:r>
      <w:r w:rsidRPr="00DF719F">
        <w:t xml:space="preserve"> (charge and discharge energy per cycle)</w:t>
      </w:r>
    </w:p>
    <w:p w14:paraId="36C5F265" w14:textId="77777777" w:rsidR="00DF719F" w:rsidRPr="00DF719F" w:rsidRDefault="00DF719F" w:rsidP="00DF719F">
      <w:pPr>
        <w:jc w:val="both"/>
      </w:pPr>
      <w:r w:rsidRPr="00DF719F">
        <w:t>These features form the basis for degradation modeling, anomaly detection, and RUL prediction.</w:t>
      </w:r>
    </w:p>
    <w:p w14:paraId="62F0CE1A" w14:textId="77777777" w:rsidR="00DF719F" w:rsidRDefault="00000000" w:rsidP="00DF719F">
      <w:pPr>
        <w:jc w:val="both"/>
      </w:pPr>
      <w:r>
        <w:pict w14:anchorId="7A428E42">
          <v:rect id="_x0000_i1027" style="width:0;height:1.5pt" o:hralign="center" o:hrstd="t" o:hr="t" fillcolor="#a0a0a0" stroked="f"/>
        </w:pict>
      </w:r>
    </w:p>
    <w:p w14:paraId="4C458A9C" w14:textId="77777777" w:rsidR="00DF719F" w:rsidRDefault="00DF719F" w:rsidP="00DF719F">
      <w:pPr>
        <w:jc w:val="both"/>
      </w:pPr>
    </w:p>
    <w:p w14:paraId="07721E7D" w14:textId="77777777" w:rsidR="00DF719F" w:rsidRDefault="00DF719F" w:rsidP="00DF719F">
      <w:pPr>
        <w:jc w:val="both"/>
      </w:pPr>
    </w:p>
    <w:p w14:paraId="1CA74361" w14:textId="77777777" w:rsidR="00DF719F" w:rsidRDefault="00DF719F" w:rsidP="00DF719F">
      <w:pPr>
        <w:jc w:val="both"/>
      </w:pPr>
    </w:p>
    <w:p w14:paraId="78385FB8" w14:textId="77777777" w:rsidR="00DF719F" w:rsidRDefault="00DF719F" w:rsidP="00DF719F">
      <w:pPr>
        <w:jc w:val="both"/>
      </w:pPr>
    </w:p>
    <w:p w14:paraId="025E7D63" w14:textId="77777777" w:rsidR="00DF719F" w:rsidRPr="00DF719F" w:rsidRDefault="00DF719F" w:rsidP="00DF719F">
      <w:pPr>
        <w:jc w:val="both"/>
      </w:pPr>
    </w:p>
    <w:p w14:paraId="4B1FAB3D" w14:textId="77777777" w:rsidR="00DF719F" w:rsidRPr="00DF719F" w:rsidRDefault="00DF719F" w:rsidP="00DF719F">
      <w:pPr>
        <w:jc w:val="both"/>
        <w:rPr>
          <w:b/>
          <w:bCs/>
        </w:rPr>
      </w:pPr>
      <w:r w:rsidRPr="00DF719F">
        <w:rPr>
          <w:b/>
          <w:bCs/>
        </w:rPr>
        <w:t>1.2 Degradation Modeling</w:t>
      </w:r>
    </w:p>
    <w:p w14:paraId="18F91D4D" w14:textId="1069B939" w:rsidR="00DF719F" w:rsidRPr="00DF719F" w:rsidRDefault="00000000" w:rsidP="00DF719F">
      <w:pPr>
        <w:jc w:val="both"/>
        <w:rPr>
          <w:b/>
          <w:bCs/>
        </w:rPr>
      </w:pPr>
      <m:oMath>
        <m:rad>
          <m:radPr>
            <m:degHide m:val="1"/>
            <m:ctrlPr>
              <w:rPr>
                <w:rFonts w:ascii="Cambria Math" w:hAnsi="Cambria Math"/>
                <w:b/>
                <w:bCs/>
              </w:rPr>
            </m:ctrlPr>
          </m:radPr>
          <m:deg/>
          <m:e>
            <m:r>
              <m:rPr>
                <m:sty m:val="bi"/>
              </m:rPr>
              <w:rPr>
                <w:rFonts w:ascii="Cambria Math" w:hAnsi="Cambria Math"/>
              </w:rPr>
              <m:t>n</m:t>
            </m:r>
          </m:e>
        </m:rad>
      </m:oMath>
      <w:r w:rsidR="00F41364" w:rsidRPr="00F41364">
        <w:rPr>
          <w:rFonts w:eastAsiaTheme="minorEastAsia"/>
          <w:b/>
          <w:bCs/>
        </w:rPr>
        <w:t xml:space="preserve"> </w:t>
      </w:r>
      <w:r w:rsidR="00DF719F" w:rsidRPr="00DF719F">
        <w:rPr>
          <w:b/>
          <w:bCs/>
        </w:rPr>
        <w:t>capacity fade model</w:t>
      </w:r>
    </w:p>
    <w:p w14:paraId="27E5DA28" w14:textId="23894808" w:rsidR="00DF719F" w:rsidRDefault="00DF719F" w:rsidP="00DF719F">
      <w:pPr>
        <w:jc w:val="both"/>
      </w:pPr>
      <w:r w:rsidRPr="00DF719F">
        <w:t>Capacity degradation was modeled using a square-root-of-cycle-count (</w:t>
      </w:r>
      <m:oMath>
        <m:rad>
          <m:radPr>
            <m:degHide m:val="1"/>
            <m:ctrlPr>
              <w:rPr>
                <w:rFonts w:ascii="Cambria Math" w:hAnsi="Cambria Math"/>
              </w:rPr>
            </m:ctrlPr>
          </m:radPr>
          <m:deg/>
          <m:e>
            <m:r>
              <w:rPr>
                <w:rFonts w:ascii="Cambria Math" w:hAnsi="Cambria Math"/>
              </w:rPr>
              <m:t>n</m:t>
            </m:r>
          </m:e>
        </m:rad>
      </m:oMath>
      <w:r w:rsidRPr="00DF719F">
        <w:t>) formulation:</w:t>
      </w:r>
    </w:p>
    <w:p w14:paraId="2BDBDEBA" w14:textId="4676954C" w:rsidR="00DF719F" w:rsidRPr="00DF719F" w:rsidRDefault="00DF719F" w:rsidP="00DF719F">
      <w:pPr>
        <w:jc w:val="both"/>
      </w:pPr>
      <w:r>
        <w:tab/>
      </w:r>
      <w:r>
        <w:tab/>
      </w:r>
      <w:r>
        <w:tab/>
      </w:r>
      <w:r>
        <w:tab/>
      </w:r>
      <m:oMath>
        <m:r>
          <w:rPr>
            <w:rFonts w:ascii="Cambria Math" w:hAnsi="Cambria Math"/>
          </w:rPr>
          <m:t>Q</m:t>
        </m:r>
        <m:d>
          <m:dPr>
            <m:ctrlPr>
              <w:rPr>
                <w:rFonts w:ascii="Cambria Math" w:hAnsi="Cambria Math"/>
                <w:i/>
              </w:rPr>
            </m:ctrlPr>
          </m:dPr>
          <m:e>
            <m:r>
              <w:rPr>
                <w:rFonts w:ascii="Cambria Math" w:hAnsi="Cambria Math"/>
              </w:rPr>
              <m:t>n</m:t>
            </m:r>
          </m:e>
        </m:d>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0,fit</m:t>
            </m:r>
          </m:sub>
        </m:sSub>
        <m:r>
          <w:rPr>
            <w:rFonts w:ascii="Cambria Math" w:hAnsi="Cambria Math"/>
          </w:rPr>
          <m:t>-a</m:t>
        </m:r>
        <m:rad>
          <m:radPr>
            <m:degHide m:val="1"/>
            <m:ctrlPr>
              <w:rPr>
                <w:rFonts w:ascii="Cambria Math" w:hAnsi="Cambria Math"/>
                <w:i/>
              </w:rPr>
            </m:ctrlPr>
          </m:radPr>
          <m:deg/>
          <m:e>
            <m:r>
              <w:rPr>
                <w:rFonts w:ascii="Cambria Math" w:hAnsi="Cambria Math"/>
              </w:rPr>
              <m:t>n</m:t>
            </m:r>
          </m:e>
        </m:rad>
      </m:oMath>
    </w:p>
    <w:p w14:paraId="65E40D69" w14:textId="5AFEB974" w:rsidR="00DF719F" w:rsidRPr="00DF719F" w:rsidRDefault="00DF719F" w:rsidP="00DF719F">
      <w:pPr>
        <w:jc w:val="both"/>
      </w:pPr>
      <w:r w:rsidRPr="00DF719F">
        <w:t xml:space="preserve">This model is physically </w:t>
      </w:r>
      <w:r>
        <w:t>used</w:t>
      </w:r>
      <w:r w:rsidRPr="00DF719F">
        <w:t xml:space="preserve"> by diffusion-limited processes such as solid–electrolyte interphase (SEI) growth and has been widely reported to capture long-term aging behavior under cycling conditions.</w:t>
      </w:r>
    </w:p>
    <w:p w14:paraId="78E3592C" w14:textId="77777777" w:rsidR="00DF719F" w:rsidRPr="00DF719F" w:rsidRDefault="00DF719F" w:rsidP="00DF719F">
      <w:pPr>
        <w:jc w:val="both"/>
        <w:rPr>
          <w:b/>
          <w:bCs/>
        </w:rPr>
      </w:pPr>
      <w:r w:rsidRPr="00DF719F">
        <w:rPr>
          <w:b/>
          <w:bCs/>
        </w:rPr>
        <w:t>Parameter estimation</w:t>
      </w:r>
    </w:p>
    <w:p w14:paraId="44E0D9A1" w14:textId="77777777" w:rsidR="00DF719F" w:rsidRPr="00DF719F" w:rsidRDefault="00DF719F" w:rsidP="00DF719F">
      <w:pPr>
        <w:jc w:val="both"/>
      </w:pPr>
      <w:r w:rsidRPr="00DF719F">
        <w:t>Model parameters were estimated using regression techniques on a subset of clean cycles. By fitting the model only to representative, non-anomalous cycles, the fitted parameters reflect the true degradation trend rather than being biased by noise or outliers.</w:t>
      </w:r>
    </w:p>
    <w:p w14:paraId="262E6C66" w14:textId="77777777" w:rsidR="00DF719F" w:rsidRPr="00DF719F" w:rsidRDefault="00000000" w:rsidP="00DF719F">
      <w:pPr>
        <w:jc w:val="both"/>
      </w:pPr>
      <w:r>
        <w:pict w14:anchorId="66587814">
          <v:rect id="_x0000_i1028" style="width:0;height:1.5pt" o:hralign="center" o:hrstd="t" o:hr="t" fillcolor="#a0a0a0" stroked="f"/>
        </w:pict>
      </w:r>
    </w:p>
    <w:p w14:paraId="5E015B98" w14:textId="77777777" w:rsidR="00DF719F" w:rsidRPr="00DF719F" w:rsidRDefault="00DF719F" w:rsidP="00DF719F">
      <w:pPr>
        <w:jc w:val="both"/>
        <w:rPr>
          <w:b/>
          <w:bCs/>
        </w:rPr>
      </w:pPr>
      <w:r w:rsidRPr="00DF719F">
        <w:rPr>
          <w:b/>
          <w:bCs/>
        </w:rPr>
        <w:t>1.3 Anomaly Detection</w:t>
      </w:r>
    </w:p>
    <w:p w14:paraId="7523CE8D" w14:textId="77777777" w:rsidR="00DF719F" w:rsidRPr="00DF719F" w:rsidRDefault="00DF719F" w:rsidP="00DF719F">
      <w:pPr>
        <w:jc w:val="both"/>
        <w:rPr>
          <w:b/>
          <w:bCs/>
        </w:rPr>
      </w:pPr>
      <w:r w:rsidRPr="00DF719F">
        <w:rPr>
          <w:b/>
          <w:bCs/>
        </w:rPr>
        <w:t>Residual-based features</w:t>
      </w:r>
    </w:p>
    <w:p w14:paraId="79B7EC7B" w14:textId="6A78E782" w:rsidR="00DF719F" w:rsidRPr="00DF719F" w:rsidRDefault="00DF719F" w:rsidP="00DF719F">
      <w:pPr>
        <w:jc w:val="both"/>
      </w:pPr>
      <w:r w:rsidRPr="00DF719F">
        <w:t xml:space="preserve">For each cycle, residuals were </w:t>
      </w:r>
      <w:r>
        <w:t>calculated</w:t>
      </w:r>
      <w:r w:rsidRPr="00DF719F">
        <w:t xml:space="preserve"> as the difference between measured capacity and model-predicted capacity. These residuals isolate deviations from the expected degradation trend and serve as physics-aware anomaly </w:t>
      </w:r>
      <w:r>
        <w:t>identifiers</w:t>
      </w:r>
      <w:r w:rsidRPr="00DF719F">
        <w:t xml:space="preserve">. Residuals were normalized using z-scores to account for cell-to-cell </w:t>
      </w:r>
      <w:r>
        <w:t>variations</w:t>
      </w:r>
      <w:r w:rsidRPr="00DF719F">
        <w:t>.</w:t>
      </w:r>
    </w:p>
    <w:p w14:paraId="1FF8353A" w14:textId="77777777" w:rsidR="00DF719F" w:rsidRPr="00DF719F" w:rsidRDefault="00DF719F" w:rsidP="00DF719F">
      <w:pPr>
        <w:jc w:val="both"/>
        <w:rPr>
          <w:b/>
          <w:bCs/>
        </w:rPr>
      </w:pPr>
      <w:r w:rsidRPr="00DF719F">
        <w:rPr>
          <w:b/>
          <w:bCs/>
        </w:rPr>
        <w:t>DBSCAN clustering</w:t>
      </w:r>
    </w:p>
    <w:p w14:paraId="101EC65E" w14:textId="77777777" w:rsidR="00DF719F" w:rsidRPr="00DF719F" w:rsidRDefault="00DF719F" w:rsidP="00DF719F">
      <w:pPr>
        <w:jc w:val="both"/>
      </w:pPr>
      <w:r w:rsidRPr="00DF719F">
        <w:t>Unsupervised anomaly detection was performed using DBSCAN (Density-Based Spatial Clustering of Applications with Noise). Feature vectors composed of ΔQ, discharge capacity, and coulombic efficiency were standardized and clustered. Cycles classified as noise (cluster label = −1) were flagged as anomalous.</w:t>
      </w:r>
    </w:p>
    <w:p w14:paraId="07ACC4E4" w14:textId="77777777" w:rsidR="00DF719F" w:rsidRPr="00DF719F" w:rsidRDefault="00DF719F" w:rsidP="00DF719F">
      <w:pPr>
        <w:jc w:val="both"/>
        <w:rPr>
          <w:b/>
          <w:bCs/>
        </w:rPr>
      </w:pPr>
      <w:r w:rsidRPr="00DF719F">
        <w:rPr>
          <w:b/>
          <w:bCs/>
        </w:rPr>
        <w:t>Motivation for unsupervised learning</w:t>
      </w:r>
    </w:p>
    <w:p w14:paraId="0A0A0FE9" w14:textId="77777777" w:rsidR="00DF719F" w:rsidRPr="00DF719F" w:rsidRDefault="00DF719F" w:rsidP="00DF719F">
      <w:pPr>
        <w:jc w:val="both"/>
      </w:pPr>
      <w:r w:rsidRPr="00DF719F">
        <w:t>Unsupervised methods were chosen because labeled anomaly data is typically unavailable in battery aging experiments. DBSCAN enables detection of abnormal cycles without prior assumptions about anomaly frequency or distribution, making it well suited for exploratory and production-scale analytics.</w:t>
      </w:r>
    </w:p>
    <w:p w14:paraId="3F111026" w14:textId="77777777" w:rsidR="00DF719F" w:rsidRPr="00DF719F" w:rsidRDefault="00000000" w:rsidP="00DF719F">
      <w:pPr>
        <w:jc w:val="both"/>
      </w:pPr>
      <w:r>
        <w:pict w14:anchorId="6B038C14">
          <v:rect id="_x0000_i1029" style="width:0;height:1.5pt" o:hralign="center" o:hrstd="t" o:hr="t" fillcolor="#a0a0a0" stroked="f"/>
        </w:pict>
      </w:r>
    </w:p>
    <w:p w14:paraId="0CA5459E" w14:textId="77777777" w:rsidR="00DF719F" w:rsidRPr="00DF719F" w:rsidRDefault="00DF719F" w:rsidP="00DF719F">
      <w:pPr>
        <w:jc w:val="both"/>
        <w:rPr>
          <w:b/>
          <w:bCs/>
        </w:rPr>
      </w:pPr>
      <w:r w:rsidRPr="00DF719F">
        <w:rPr>
          <w:b/>
          <w:bCs/>
        </w:rPr>
        <w:lastRenderedPageBreak/>
        <w:t>1.4 Remaining Useful Life (RUL) Prediction</w:t>
      </w:r>
    </w:p>
    <w:p w14:paraId="3B6A580E" w14:textId="77777777" w:rsidR="00DF719F" w:rsidRPr="00DF719F" w:rsidRDefault="00DF719F" w:rsidP="00DF719F">
      <w:pPr>
        <w:jc w:val="both"/>
      </w:pPr>
      <w:r w:rsidRPr="00DF719F">
        <w:t>RUL estimation was implemented via √n capacity extrapolation. For each cell, model parameters were estimated from cycle-level data, with an optional mid-life fitting mode (</w:t>
      </w:r>
      <w:proofErr w:type="spellStart"/>
      <w:r w:rsidRPr="00DF719F">
        <w:t>use_mid_life</w:t>
      </w:r>
      <w:proofErr w:type="spellEnd"/>
      <w:r w:rsidRPr="00DF719F">
        <w:t>=True) that excludes very early cycles (Cycle &lt; 5) to reduce formation-related bias.</w:t>
      </w:r>
    </w:p>
    <w:p w14:paraId="79C0E7B3" w14:textId="77777777" w:rsidR="00DF719F" w:rsidRPr="00DF719F" w:rsidRDefault="00DF719F" w:rsidP="00DF719F">
      <w:pPr>
        <w:jc w:val="both"/>
      </w:pPr>
      <w:r w:rsidRPr="00DF719F">
        <w:t>End-of-life (EOL) was defined as the cycle at which discharge capacity reaches 80% of the measured initial capacity:</w:t>
      </w:r>
    </w:p>
    <w:p w14:paraId="14314876" w14:textId="79B959EA" w:rsidR="00DF719F" w:rsidRPr="00DF719F" w:rsidRDefault="00000000" w:rsidP="00DF719F">
      <w:pPr>
        <w:numPr>
          <w:ilvl w:val="0"/>
          <w:numId w:val="15"/>
        </w:numPr>
        <w:jc w:val="both"/>
      </w:pPr>
      <m:oMath>
        <m:sSub>
          <m:sSubPr>
            <m:ctrlPr>
              <w:rPr>
                <w:rFonts w:ascii="Cambria Math" w:hAnsi="Cambria Math"/>
                <w:i/>
              </w:rPr>
            </m:ctrlPr>
          </m:sSubPr>
          <m:e>
            <m:r>
              <w:rPr>
                <w:rFonts w:ascii="Cambria Math" w:hAnsi="Cambria Math"/>
              </w:rPr>
              <m:t>Q</m:t>
            </m:r>
          </m:e>
          <m:sub>
            <m:r>
              <w:rPr>
                <w:rFonts w:ascii="Cambria Math" w:hAnsi="Cambria Math"/>
              </w:rPr>
              <m:t>0,meas</m:t>
            </m:r>
          </m:sub>
        </m:sSub>
        <m:r>
          <w:rPr>
            <w:rFonts w:ascii="Cambria Math" w:hAnsi="Cambria Math"/>
          </w:rPr>
          <m:t xml:space="preserve">= </m:t>
        </m:r>
        <m:r>
          <m:rPr>
            <m:sty m:val="p"/>
          </m:rPr>
          <w:rPr>
            <w:rFonts w:ascii="Cambria Math" w:hAnsi="Cambria Math"/>
          </w:rPr>
          <m:t>max⁡</m:t>
        </m:r>
        <m:r>
          <w:rPr>
            <w:rFonts w:ascii="Cambria Math" w:hAnsi="Cambria Math"/>
          </w:rPr>
          <m:t>(Q)</m:t>
        </m:r>
      </m:oMath>
    </w:p>
    <w:p w14:paraId="6DC25149" w14:textId="1C0FA468" w:rsidR="00DF719F" w:rsidRPr="00DF719F" w:rsidRDefault="00000000" w:rsidP="00DF719F">
      <w:pPr>
        <w:numPr>
          <w:ilvl w:val="0"/>
          <w:numId w:val="15"/>
        </w:numPr>
        <w:jc w:val="both"/>
      </w:pPr>
      <m:oMath>
        <m:sSub>
          <m:sSubPr>
            <m:ctrlPr>
              <w:rPr>
                <w:rFonts w:ascii="Cambria Math" w:hAnsi="Cambria Math"/>
                <w:i/>
              </w:rPr>
            </m:ctrlPr>
          </m:sSubPr>
          <m:e>
            <m:r>
              <w:rPr>
                <w:rFonts w:ascii="Cambria Math" w:hAnsi="Cambria Math"/>
              </w:rPr>
              <m:t>Q</m:t>
            </m:r>
          </m:e>
          <m:sub>
            <m:r>
              <w:rPr>
                <w:rFonts w:ascii="Cambria Math" w:hAnsi="Cambria Math"/>
              </w:rPr>
              <m:t>EOL</m:t>
            </m:r>
          </m:sub>
        </m:sSub>
        <m:r>
          <w:rPr>
            <w:rFonts w:ascii="Cambria Math" w:hAnsi="Cambria Math"/>
          </w:rPr>
          <m:t xml:space="preserve">= 0.8* </m:t>
        </m:r>
        <m:sSub>
          <m:sSubPr>
            <m:ctrlPr>
              <w:rPr>
                <w:rFonts w:ascii="Cambria Math" w:hAnsi="Cambria Math"/>
                <w:i/>
              </w:rPr>
            </m:ctrlPr>
          </m:sSubPr>
          <m:e>
            <m:r>
              <w:rPr>
                <w:rFonts w:ascii="Cambria Math" w:hAnsi="Cambria Math"/>
              </w:rPr>
              <m:t>Q</m:t>
            </m:r>
          </m:e>
          <m:sub>
            <m:r>
              <w:rPr>
                <w:rFonts w:ascii="Cambria Math" w:hAnsi="Cambria Math"/>
              </w:rPr>
              <m:t>0,meas</m:t>
            </m:r>
          </m:sub>
        </m:sSub>
      </m:oMath>
    </w:p>
    <w:p w14:paraId="1D26BC57" w14:textId="77777777" w:rsidR="00DF719F" w:rsidRDefault="00DF719F" w:rsidP="00DF719F">
      <w:pPr>
        <w:numPr>
          <w:ilvl w:val="0"/>
          <w:numId w:val="15"/>
        </w:numPr>
        <w:jc w:val="both"/>
      </w:pPr>
      <w:r>
        <w:t>Solving the fitted model for the EOL cycle count:</w:t>
      </w:r>
    </w:p>
    <w:p w14:paraId="2EE36D73" w14:textId="0836DF14" w:rsidR="00DF719F" w:rsidRDefault="00000000" w:rsidP="00DF719F">
      <w:pPr>
        <w:jc w:val="both"/>
      </w:pPr>
      <m:oMathPara>
        <m:oMath>
          <m:sSub>
            <m:sSubPr>
              <m:ctrlPr>
                <w:rPr>
                  <w:rFonts w:ascii="Cambria Math" w:hAnsi="Cambria Math"/>
                  <w:i/>
                </w:rPr>
              </m:ctrlPr>
            </m:sSubPr>
            <m:e>
              <m:r>
                <w:rPr>
                  <w:rFonts w:ascii="Cambria Math" w:hAnsi="Cambria Math"/>
                </w:rPr>
                <m:t>η</m:t>
              </m:r>
            </m:e>
            <m:sub>
              <m:r>
                <w:rPr>
                  <w:rFonts w:ascii="Cambria Math" w:hAnsi="Cambria Math"/>
                </w:rPr>
                <m:t>EOL</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0,fit</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EOL</m:t>
                          </m:r>
                        </m:sub>
                      </m:sSub>
                    </m:num>
                    <m:den>
                      <m:r>
                        <w:rPr>
                          <w:rFonts w:ascii="Cambria Math" w:hAnsi="Cambria Math"/>
                        </w:rPr>
                        <m:t>a</m:t>
                      </m:r>
                    </m:den>
                  </m:f>
                </m:e>
              </m:d>
            </m:e>
            <m:sup>
              <m:r>
                <w:rPr>
                  <w:rFonts w:ascii="Cambria Math" w:hAnsi="Cambria Math"/>
                </w:rPr>
                <m:t>2</m:t>
              </m:r>
            </m:sup>
          </m:sSup>
        </m:oMath>
      </m:oMathPara>
    </w:p>
    <w:p w14:paraId="63F6FB88" w14:textId="1D84CFAE" w:rsidR="00DF719F" w:rsidRDefault="00DF719F" w:rsidP="00DF719F">
      <w:pPr>
        <w:jc w:val="both"/>
      </w:pPr>
      <w:r w:rsidRPr="00DF719F">
        <w:t xml:space="preserve">RUL at a given operating point </w:t>
      </w:r>
      <m:oMath>
        <m:sSub>
          <m:sSubPr>
            <m:ctrlPr>
              <w:rPr>
                <w:rFonts w:ascii="Cambria Math" w:hAnsi="Cambria Math"/>
                <w:i/>
              </w:rPr>
            </m:ctrlPr>
          </m:sSubPr>
          <m:e>
            <m:r>
              <w:rPr>
                <w:rFonts w:ascii="Cambria Math" w:hAnsi="Cambria Math"/>
              </w:rPr>
              <m:t>η</m:t>
            </m:r>
          </m:e>
          <m:sub>
            <m:r>
              <w:rPr>
                <w:rFonts w:ascii="Cambria Math" w:hAnsi="Cambria Math"/>
              </w:rPr>
              <m:t>now</m:t>
            </m:r>
          </m:sub>
        </m:sSub>
      </m:oMath>
      <w:r w:rsidRPr="00DF719F">
        <w:rPr>
          <w:rFonts w:ascii="Arial" w:hAnsi="Arial" w:cs="Arial"/>
        </w:rPr>
        <w:t>​</w:t>
      </w:r>
      <w:r w:rsidRPr="00DF719F">
        <w:t xml:space="preserve"> is then:</w:t>
      </w:r>
    </w:p>
    <w:p w14:paraId="56B1437B" w14:textId="63799C5B" w:rsidR="00DF719F" w:rsidRPr="00DF719F" w:rsidRDefault="00DF719F" w:rsidP="00DF719F">
      <w:pPr>
        <w:jc w:val="both"/>
      </w:pPr>
      <w:r>
        <w:tab/>
      </w:r>
      <w:r>
        <w:tab/>
      </w:r>
      <w:r>
        <w:tab/>
      </w:r>
      <w:r>
        <w:tab/>
        <w:t xml:space="preserve">        </w:t>
      </w:r>
      <m:oMath>
        <m:r>
          <w:rPr>
            <w:rFonts w:ascii="Cambria Math" w:hAnsi="Cambria Math"/>
          </w:rPr>
          <m:t>RUL</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now</m:t>
                </m:r>
              </m:sub>
            </m:sSub>
          </m:e>
        </m:d>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EOL</m:t>
            </m:r>
          </m:sub>
        </m:sSub>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now</m:t>
            </m:r>
          </m:sub>
        </m:sSub>
      </m:oMath>
    </w:p>
    <w:p w14:paraId="7E27BB6E" w14:textId="77777777" w:rsidR="00DF719F" w:rsidRPr="00DF719F" w:rsidRDefault="00DF719F" w:rsidP="00DF719F">
      <w:pPr>
        <w:jc w:val="both"/>
      </w:pPr>
      <w:r w:rsidRPr="00DF719F">
        <w:t>This provides an interpretable baseline RUL estimator suitable for benchmarking more complex methods.</w:t>
      </w:r>
    </w:p>
    <w:p w14:paraId="7648058C" w14:textId="77777777" w:rsidR="00DF719F" w:rsidRPr="00DF719F" w:rsidRDefault="00000000" w:rsidP="00DF719F">
      <w:pPr>
        <w:jc w:val="both"/>
      </w:pPr>
      <w:r>
        <w:pict w14:anchorId="0221BBED">
          <v:rect id="_x0000_i1030" style="width:0;height:1.5pt" o:hralign="center" o:hrstd="t" o:hr="t" fillcolor="#a0a0a0" stroked="f"/>
        </w:pict>
      </w:r>
    </w:p>
    <w:p w14:paraId="4409B6A2" w14:textId="77777777" w:rsidR="00DF719F" w:rsidRPr="00DF719F" w:rsidRDefault="00DF719F" w:rsidP="00DF719F">
      <w:pPr>
        <w:jc w:val="both"/>
        <w:rPr>
          <w:b/>
          <w:bCs/>
        </w:rPr>
      </w:pPr>
      <w:r w:rsidRPr="00DF719F">
        <w:rPr>
          <w:b/>
          <w:bCs/>
        </w:rPr>
        <w:t>2. Key Findings</w:t>
      </w:r>
    </w:p>
    <w:p w14:paraId="43B04416" w14:textId="54074421" w:rsidR="00DF719F" w:rsidRPr="00DF719F" w:rsidRDefault="00DF719F" w:rsidP="00DF719F">
      <w:pPr>
        <w:numPr>
          <w:ilvl w:val="0"/>
          <w:numId w:val="11"/>
        </w:numPr>
        <w:jc w:val="both"/>
      </w:pPr>
      <w:r w:rsidRPr="00DF719F">
        <w:t xml:space="preserve">The </w:t>
      </w:r>
      <m:oMath>
        <m:rad>
          <m:radPr>
            <m:degHide m:val="1"/>
            <m:ctrlPr>
              <w:rPr>
                <w:rFonts w:ascii="Cambria Math" w:hAnsi="Cambria Math"/>
                <w:b/>
                <w:bCs/>
                <w:i/>
              </w:rPr>
            </m:ctrlPr>
          </m:radPr>
          <m:deg/>
          <m:e>
            <m:r>
              <m:rPr>
                <m:sty m:val="bi"/>
              </m:rPr>
              <w:rPr>
                <w:rFonts w:ascii="Cambria Math" w:hAnsi="Cambria Math"/>
              </w:rPr>
              <m:t>n</m:t>
            </m:r>
          </m:e>
        </m:rad>
      </m:oMath>
      <w:r w:rsidRPr="00DF719F">
        <w:rPr>
          <w:b/>
          <w:bCs/>
        </w:rPr>
        <w:t xml:space="preserve"> degradation model</w:t>
      </w:r>
      <w:r w:rsidRPr="00DF719F">
        <w:t xml:space="preserve"> captures the dominant long-term capacity fade trend accurately across</w:t>
      </w:r>
      <w:r>
        <w:t xml:space="preserve"> both</w:t>
      </w:r>
      <w:r w:rsidRPr="00DF719F">
        <w:t xml:space="preserve"> cells.</w:t>
      </w:r>
    </w:p>
    <w:p w14:paraId="5C30D4A9" w14:textId="77777777" w:rsidR="00DF719F" w:rsidRPr="00DF719F" w:rsidRDefault="00DF719F" w:rsidP="00DF719F">
      <w:pPr>
        <w:numPr>
          <w:ilvl w:val="0"/>
          <w:numId w:val="11"/>
        </w:numPr>
        <w:jc w:val="both"/>
      </w:pPr>
      <w:r w:rsidRPr="00DF719F">
        <w:rPr>
          <w:b/>
          <w:bCs/>
        </w:rPr>
        <w:t>Early-life RUL prediction (&lt;30% of lifetime)</w:t>
      </w:r>
      <w:r w:rsidRPr="00DF719F">
        <w:t xml:space="preserve"> is inherently unreliable due to limited degradation signal and high uncertainty.</w:t>
      </w:r>
    </w:p>
    <w:p w14:paraId="585B3AF9" w14:textId="77777777" w:rsidR="00DF719F" w:rsidRPr="00DF719F" w:rsidRDefault="00DF719F" w:rsidP="00DF719F">
      <w:pPr>
        <w:numPr>
          <w:ilvl w:val="0"/>
          <w:numId w:val="11"/>
        </w:numPr>
        <w:jc w:val="both"/>
      </w:pPr>
      <w:r w:rsidRPr="00DF719F">
        <w:t xml:space="preserve">Incorporating </w:t>
      </w:r>
      <w:r w:rsidRPr="00DF719F">
        <w:rPr>
          <w:b/>
          <w:bCs/>
        </w:rPr>
        <w:t>mid-life data significantly improves EOL and RUL prediction accuracy</w:t>
      </w:r>
      <w:r w:rsidRPr="00DF719F">
        <w:t>, as degradation trends become more stable.</w:t>
      </w:r>
    </w:p>
    <w:p w14:paraId="3EF24BA8" w14:textId="77777777" w:rsidR="00DF719F" w:rsidRPr="00DF719F" w:rsidRDefault="00DF719F" w:rsidP="00DF719F">
      <w:pPr>
        <w:numPr>
          <w:ilvl w:val="0"/>
          <w:numId w:val="11"/>
        </w:numPr>
        <w:jc w:val="both"/>
      </w:pPr>
      <w:r w:rsidRPr="00DF719F">
        <w:rPr>
          <w:b/>
          <w:bCs/>
        </w:rPr>
        <w:t>Residual-based anomaly detection</w:t>
      </w:r>
      <w:r w:rsidRPr="00DF719F">
        <w:t xml:space="preserve"> successfully identifies cycles with abnormal efficiency loss or sudden capacity deviations.</w:t>
      </w:r>
    </w:p>
    <w:p w14:paraId="704D46C4" w14:textId="77777777" w:rsidR="00DF719F" w:rsidRPr="00DF719F" w:rsidRDefault="00DF719F" w:rsidP="00DF719F">
      <w:pPr>
        <w:numPr>
          <w:ilvl w:val="0"/>
          <w:numId w:val="11"/>
        </w:numPr>
        <w:jc w:val="both"/>
      </w:pPr>
      <w:r w:rsidRPr="00DF719F">
        <w:rPr>
          <w:b/>
          <w:bCs/>
        </w:rPr>
        <w:t>DBSCAN clustering</w:t>
      </w:r>
      <w:r w:rsidRPr="00DF719F">
        <w:t xml:space="preserve"> isolates anomalous cycles without requiring labeled data, improving robustness of downstream modeling.</w:t>
      </w:r>
    </w:p>
    <w:p w14:paraId="5FA0CC21" w14:textId="77777777" w:rsidR="00DF719F" w:rsidRDefault="00DF719F" w:rsidP="00DF719F">
      <w:pPr>
        <w:numPr>
          <w:ilvl w:val="0"/>
          <w:numId w:val="11"/>
        </w:numPr>
        <w:jc w:val="both"/>
      </w:pPr>
      <w:r w:rsidRPr="00DF719F">
        <w:rPr>
          <w:b/>
          <w:bCs/>
        </w:rPr>
        <w:t>LSTM-based sequence modeling</w:t>
      </w:r>
      <w:r w:rsidRPr="00DF719F">
        <w:t xml:space="preserve"> is architecturally appropriate for RUL prediction but is constrained by data volume and diversity in this study.</w:t>
      </w:r>
    </w:p>
    <w:p w14:paraId="2F90A13E" w14:textId="41CC22F2" w:rsidR="00F41364" w:rsidRPr="00DF719F" w:rsidRDefault="00F41364" w:rsidP="00F41364">
      <w:pPr>
        <w:numPr>
          <w:ilvl w:val="0"/>
          <w:numId w:val="11"/>
        </w:numPr>
        <w:jc w:val="both"/>
      </w:pPr>
      <w:r>
        <w:lastRenderedPageBreak/>
        <w:t>Among the two cells, Cell 01 is the weakest one.</w:t>
      </w:r>
    </w:p>
    <w:p w14:paraId="18AC5322" w14:textId="77777777" w:rsidR="00DF719F" w:rsidRPr="00DF719F" w:rsidRDefault="00DF719F" w:rsidP="00DF719F">
      <w:pPr>
        <w:jc w:val="both"/>
        <w:rPr>
          <w:b/>
          <w:bCs/>
        </w:rPr>
      </w:pPr>
      <w:r w:rsidRPr="00DF719F">
        <w:rPr>
          <w:b/>
          <w:bCs/>
        </w:rPr>
        <w:t>3. Limitations</w:t>
      </w:r>
    </w:p>
    <w:p w14:paraId="25FDFEF8" w14:textId="77777777" w:rsidR="00DF719F" w:rsidRPr="00DF719F" w:rsidRDefault="00DF719F" w:rsidP="00DF719F">
      <w:pPr>
        <w:jc w:val="both"/>
      </w:pPr>
      <w:r w:rsidRPr="00DF719F">
        <w:t>Several limitations should be acknowledged to contextualize the results:</w:t>
      </w:r>
    </w:p>
    <w:p w14:paraId="1C2B2BBD" w14:textId="77777777" w:rsidR="00DF719F" w:rsidRPr="00DF719F" w:rsidRDefault="00DF719F" w:rsidP="00DF719F">
      <w:pPr>
        <w:numPr>
          <w:ilvl w:val="0"/>
          <w:numId w:val="12"/>
        </w:numPr>
        <w:jc w:val="both"/>
      </w:pPr>
      <w:r w:rsidRPr="00DF719F">
        <w:t xml:space="preserve">The analysis is based on a </w:t>
      </w:r>
      <w:r w:rsidRPr="00DF719F">
        <w:rPr>
          <w:b/>
          <w:bCs/>
        </w:rPr>
        <w:t>limited number of laboratory-tested cells</w:t>
      </w:r>
      <w:r w:rsidRPr="00DF719F">
        <w:t>, restricting generalization.</w:t>
      </w:r>
    </w:p>
    <w:p w14:paraId="3F39BB9D" w14:textId="0DA8381E" w:rsidR="00DF719F" w:rsidRPr="00DF719F" w:rsidRDefault="00DF719F" w:rsidP="00DF719F">
      <w:pPr>
        <w:numPr>
          <w:ilvl w:val="0"/>
          <w:numId w:val="12"/>
        </w:numPr>
        <w:jc w:val="both"/>
      </w:pPr>
      <w:r w:rsidRPr="00DF719F">
        <w:rPr>
          <w:b/>
          <w:bCs/>
        </w:rPr>
        <w:t>Temperature data and thermal gradients</w:t>
      </w:r>
      <w:r w:rsidRPr="00DF719F">
        <w:t xml:space="preserve"> were not available</w:t>
      </w:r>
      <w:r>
        <w:t xml:space="preserve"> due to no data of temperatures</w:t>
      </w:r>
      <w:r w:rsidRPr="00DF719F">
        <w:t>, despite their strong influence on degradation.</w:t>
      </w:r>
    </w:p>
    <w:p w14:paraId="24DF5A97" w14:textId="77777777" w:rsidR="00DF719F" w:rsidRPr="00DF719F" w:rsidRDefault="00DF719F" w:rsidP="00DF719F">
      <w:pPr>
        <w:numPr>
          <w:ilvl w:val="0"/>
          <w:numId w:val="12"/>
        </w:numPr>
        <w:jc w:val="both"/>
      </w:pPr>
      <w:r w:rsidRPr="00DF719F">
        <w:rPr>
          <w:b/>
          <w:bCs/>
        </w:rPr>
        <w:t>Cell balancing and pack-level interactions</w:t>
      </w:r>
      <w:r w:rsidRPr="00DF719F">
        <w:t xml:space="preserve"> were not explicitly modeled.</w:t>
      </w:r>
    </w:p>
    <w:p w14:paraId="3897CA1D" w14:textId="41BA4327" w:rsidR="00DF719F" w:rsidRPr="00DF719F" w:rsidRDefault="00DF719F" w:rsidP="00DF719F">
      <w:pPr>
        <w:jc w:val="both"/>
      </w:pPr>
      <w:r w:rsidRPr="00DF719F">
        <w:t>These limitations highlight areas for future improvement</w:t>
      </w:r>
      <w:r>
        <w:t>.</w:t>
      </w:r>
    </w:p>
    <w:p w14:paraId="323197F9" w14:textId="77777777" w:rsidR="00DF719F" w:rsidRPr="00DF719F" w:rsidRDefault="00000000" w:rsidP="00DF719F">
      <w:pPr>
        <w:jc w:val="both"/>
      </w:pPr>
      <w:r>
        <w:pict w14:anchorId="3E3311DE">
          <v:rect id="_x0000_i1031" style="width:0;height:1.5pt" o:hralign="center" o:hrstd="t" o:hr="t" fillcolor="#a0a0a0" stroked="f"/>
        </w:pict>
      </w:r>
    </w:p>
    <w:p w14:paraId="339FF257" w14:textId="77777777" w:rsidR="00DF719F" w:rsidRPr="00DF719F" w:rsidRDefault="00DF719F" w:rsidP="00DF719F">
      <w:pPr>
        <w:jc w:val="both"/>
        <w:rPr>
          <w:b/>
          <w:bCs/>
        </w:rPr>
      </w:pPr>
      <w:r w:rsidRPr="00DF719F">
        <w:rPr>
          <w:b/>
          <w:bCs/>
        </w:rPr>
        <w:t>4. Extensions to Fleet Analytics and Battery Passport Reporting</w:t>
      </w:r>
    </w:p>
    <w:p w14:paraId="1A20C701" w14:textId="77777777" w:rsidR="00DF719F" w:rsidRPr="00DF719F" w:rsidRDefault="00DF719F" w:rsidP="00DF719F">
      <w:pPr>
        <w:jc w:val="both"/>
        <w:rPr>
          <w:b/>
          <w:bCs/>
        </w:rPr>
      </w:pPr>
      <w:r w:rsidRPr="00DF719F">
        <w:rPr>
          <w:b/>
          <w:bCs/>
        </w:rPr>
        <w:t>4.1 Fleet analytics</w:t>
      </w:r>
    </w:p>
    <w:p w14:paraId="767F2B34" w14:textId="77777777" w:rsidR="00DF719F" w:rsidRPr="00DF719F" w:rsidRDefault="00DF719F" w:rsidP="00DF719F">
      <w:pPr>
        <w:jc w:val="both"/>
      </w:pPr>
      <w:r w:rsidRPr="00DF719F">
        <w:t>The proposed framework naturally extends to fleet-scale analytics by aggregating per-vehicle degradation indicators and RUL estimates. Fleet-level analysis enables:</w:t>
      </w:r>
    </w:p>
    <w:p w14:paraId="07A972CA" w14:textId="7FDDF7DC" w:rsidR="00DF719F" w:rsidRPr="00DF719F" w:rsidRDefault="00DF719F" w:rsidP="00DF719F">
      <w:pPr>
        <w:numPr>
          <w:ilvl w:val="0"/>
          <w:numId w:val="13"/>
        </w:numPr>
        <w:jc w:val="both"/>
      </w:pPr>
      <w:r w:rsidRPr="00DF719F">
        <w:t xml:space="preserve">Identification of </w:t>
      </w:r>
      <w:r w:rsidRPr="00DF719F">
        <w:rPr>
          <w:b/>
          <w:bCs/>
        </w:rPr>
        <w:t xml:space="preserve">fast-aging </w:t>
      </w:r>
      <w:r>
        <w:rPr>
          <w:b/>
          <w:bCs/>
        </w:rPr>
        <w:t>vehicles</w:t>
      </w:r>
    </w:p>
    <w:p w14:paraId="0AA55D78" w14:textId="77777777" w:rsidR="00DF719F" w:rsidRPr="00DF719F" w:rsidRDefault="00DF719F" w:rsidP="00DF719F">
      <w:pPr>
        <w:numPr>
          <w:ilvl w:val="0"/>
          <w:numId w:val="13"/>
        </w:numPr>
        <w:jc w:val="both"/>
      </w:pPr>
      <w:r w:rsidRPr="00DF719F">
        <w:t xml:space="preserve">Prioritization of </w:t>
      </w:r>
      <w:r w:rsidRPr="00DF719F">
        <w:rPr>
          <w:b/>
          <w:bCs/>
        </w:rPr>
        <w:t>predictive maintenance actions</w:t>
      </w:r>
    </w:p>
    <w:p w14:paraId="04FF6CE9" w14:textId="77EEF3A9" w:rsidR="00DF719F" w:rsidRPr="00DF719F" w:rsidRDefault="00DF719F" w:rsidP="00DF719F">
      <w:pPr>
        <w:numPr>
          <w:ilvl w:val="0"/>
          <w:numId w:val="13"/>
        </w:numPr>
        <w:jc w:val="both"/>
      </w:pPr>
      <w:r>
        <w:t>W</w:t>
      </w:r>
      <w:r w:rsidRPr="00DF719F">
        <w:t>arranty planning</w:t>
      </w:r>
    </w:p>
    <w:p w14:paraId="5601CF7B" w14:textId="16E3FE76" w:rsidR="00DF719F" w:rsidRDefault="00DF719F" w:rsidP="00DF719F">
      <w:pPr>
        <w:jc w:val="both"/>
      </w:pPr>
      <w:r w:rsidRPr="00DF719F">
        <w:t xml:space="preserve">Early anomaly detection at the vehicle level can prevent </w:t>
      </w:r>
      <w:r>
        <w:t>dangerous</w:t>
      </w:r>
      <w:r w:rsidRPr="00DF719F">
        <w:t xml:space="preserve"> failures and optimize fleet utilization.</w:t>
      </w:r>
    </w:p>
    <w:p w14:paraId="65B436E4" w14:textId="77777777" w:rsidR="00DF719F" w:rsidRPr="00DF719F" w:rsidRDefault="00DF719F" w:rsidP="00DF719F">
      <w:pPr>
        <w:jc w:val="both"/>
      </w:pPr>
    </w:p>
    <w:p w14:paraId="1E817B4D" w14:textId="77777777" w:rsidR="00DF719F" w:rsidRPr="00DF719F" w:rsidRDefault="00DF719F" w:rsidP="00DF719F">
      <w:pPr>
        <w:jc w:val="both"/>
        <w:rPr>
          <w:b/>
          <w:bCs/>
        </w:rPr>
      </w:pPr>
      <w:r w:rsidRPr="00DF719F">
        <w:rPr>
          <w:b/>
          <w:bCs/>
        </w:rPr>
        <w:t>4.2 Battery passport relevance</w:t>
      </w:r>
    </w:p>
    <w:p w14:paraId="6863F5BD" w14:textId="5BE3B744" w:rsidR="00DF719F" w:rsidRPr="00DF719F" w:rsidRDefault="00DF719F" w:rsidP="00DF719F">
      <w:pPr>
        <w:jc w:val="both"/>
      </w:pPr>
      <w:r w:rsidRPr="00DF719F">
        <w:t xml:space="preserve">The extracted metrics align closely with emerging </w:t>
      </w:r>
      <w:r w:rsidRPr="00DF719F">
        <w:rPr>
          <w:b/>
          <w:bCs/>
        </w:rPr>
        <w:t>EU Battery Passport</w:t>
      </w:r>
      <w:r w:rsidRPr="00DF719F">
        <w:t xml:space="preserve"> requirements. Specifically:</w:t>
      </w:r>
    </w:p>
    <w:p w14:paraId="693CFC57" w14:textId="68A74C02" w:rsidR="00F41364" w:rsidRDefault="00F41364" w:rsidP="00DF719F">
      <w:pPr>
        <w:numPr>
          <w:ilvl w:val="0"/>
          <w:numId w:val="14"/>
        </w:numPr>
        <w:jc w:val="both"/>
      </w:pPr>
      <w:r>
        <w:t xml:space="preserve">The battery passport is kind of digital certificate which includes both statistic parameters </w:t>
      </w:r>
      <w:r w:rsidR="00FA0146">
        <w:t>and</w:t>
      </w:r>
      <w:r>
        <w:t xml:space="preserve"> dynamic parameters. </w:t>
      </w:r>
    </w:p>
    <w:p w14:paraId="263C2AB4" w14:textId="751BD7B1" w:rsidR="00F41364" w:rsidRDefault="00F41364" w:rsidP="00DF719F">
      <w:pPr>
        <w:numPr>
          <w:ilvl w:val="0"/>
          <w:numId w:val="14"/>
        </w:numPr>
        <w:jc w:val="both"/>
      </w:pPr>
      <w:r>
        <w:t>The static parameters are BOL capacity, Nomina</w:t>
      </w:r>
      <w:r w:rsidR="00FA0146">
        <w:t>l</w:t>
      </w:r>
      <w:r>
        <w:t xml:space="preserve"> voltage, Initial range as per specs etc.</w:t>
      </w:r>
    </w:p>
    <w:p w14:paraId="487B20B2" w14:textId="6713BC22" w:rsidR="00F41364" w:rsidRPr="00DF719F" w:rsidRDefault="00F41364" w:rsidP="00DF719F">
      <w:pPr>
        <w:numPr>
          <w:ilvl w:val="0"/>
          <w:numId w:val="14"/>
        </w:numPr>
        <w:jc w:val="both"/>
      </w:pPr>
      <w:r>
        <w:lastRenderedPageBreak/>
        <w:t xml:space="preserve">The dynamic parameters </w:t>
      </w:r>
      <w:r w:rsidR="00FA0146">
        <w:t>are</w:t>
      </w:r>
      <w:r w:rsidR="00FA0146" w:rsidRPr="00DF719F">
        <w:t xml:space="preserve"> State</w:t>
      </w:r>
      <w:r w:rsidR="00DF719F" w:rsidRPr="00DF719F">
        <w:t>-of-health (</w:t>
      </w:r>
      <w:proofErr w:type="spellStart"/>
      <w:r w:rsidR="00DF719F" w:rsidRPr="00DF719F">
        <w:t>SoH</w:t>
      </w:r>
      <w:proofErr w:type="spellEnd"/>
      <w:r w:rsidR="00DF719F" w:rsidRPr="00DF719F">
        <w:t>) and RUL indicators for transparency</w:t>
      </w:r>
      <w:r>
        <w:t>, number of high temperature events, high soc charging events etc.</w:t>
      </w:r>
    </w:p>
    <w:p w14:paraId="277EA2A1" w14:textId="77777777" w:rsidR="00DF719F" w:rsidRPr="00DF719F" w:rsidRDefault="00DF719F" w:rsidP="00DF719F">
      <w:pPr>
        <w:jc w:val="both"/>
        <w:rPr>
          <w:b/>
          <w:bCs/>
        </w:rPr>
      </w:pPr>
      <w:r w:rsidRPr="00DF719F">
        <w:rPr>
          <w:b/>
          <w:bCs/>
        </w:rPr>
        <w:t>5. Conclusion</w:t>
      </w:r>
    </w:p>
    <w:p w14:paraId="4031D24E" w14:textId="5A78BE2E" w:rsidR="00DF719F" w:rsidRPr="00DF719F" w:rsidRDefault="00DF719F" w:rsidP="00DF719F">
      <w:pPr>
        <w:jc w:val="both"/>
      </w:pPr>
      <w:r w:rsidRPr="00DF719F">
        <w:t xml:space="preserve">This work presents a comprehensive, end-to-end pipeline for battery degradation modeling, anomaly detection, and RUL estimation. Physics-based, statistical, and machine learning approaches were systematically compared, highlighting their respective strengths and limitations. </w:t>
      </w:r>
      <w:r w:rsidR="00F41364">
        <w:t>From the above analysis the Cell-01 is weakest cell among the two cells.</w:t>
      </w:r>
    </w:p>
    <w:p w14:paraId="77F1EB17" w14:textId="77777777" w:rsidR="00DF719F" w:rsidRPr="00DF719F" w:rsidRDefault="00DF719F" w:rsidP="00DF719F">
      <w:pPr>
        <w:jc w:val="both"/>
      </w:pPr>
    </w:p>
    <w:p w14:paraId="57FEDE70" w14:textId="77777777" w:rsidR="00DF719F" w:rsidRDefault="00DF719F" w:rsidP="00DF719F">
      <w:pPr>
        <w:jc w:val="both"/>
      </w:pPr>
    </w:p>
    <w:sectPr w:rsidR="00DF7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8EE"/>
    <w:multiLevelType w:val="multilevel"/>
    <w:tmpl w:val="8820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A65E4"/>
    <w:multiLevelType w:val="multilevel"/>
    <w:tmpl w:val="483A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B2791"/>
    <w:multiLevelType w:val="multilevel"/>
    <w:tmpl w:val="38C2D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B5E44"/>
    <w:multiLevelType w:val="multilevel"/>
    <w:tmpl w:val="2D7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2393A"/>
    <w:multiLevelType w:val="multilevel"/>
    <w:tmpl w:val="4FC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90A07"/>
    <w:multiLevelType w:val="multilevel"/>
    <w:tmpl w:val="DBBA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B5E1D"/>
    <w:multiLevelType w:val="multilevel"/>
    <w:tmpl w:val="9E2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25D2D"/>
    <w:multiLevelType w:val="multilevel"/>
    <w:tmpl w:val="9E5E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A5542"/>
    <w:multiLevelType w:val="multilevel"/>
    <w:tmpl w:val="0030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D37E0"/>
    <w:multiLevelType w:val="multilevel"/>
    <w:tmpl w:val="969C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422AF"/>
    <w:multiLevelType w:val="multilevel"/>
    <w:tmpl w:val="AFE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140314"/>
    <w:multiLevelType w:val="multilevel"/>
    <w:tmpl w:val="78A6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05BA8"/>
    <w:multiLevelType w:val="multilevel"/>
    <w:tmpl w:val="01F6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9D3022"/>
    <w:multiLevelType w:val="multilevel"/>
    <w:tmpl w:val="AAB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9F1E5A"/>
    <w:multiLevelType w:val="multilevel"/>
    <w:tmpl w:val="17B0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587122">
    <w:abstractNumId w:val="8"/>
  </w:num>
  <w:num w:numId="2" w16cid:durableId="850535426">
    <w:abstractNumId w:val="4"/>
  </w:num>
  <w:num w:numId="3" w16cid:durableId="146173538">
    <w:abstractNumId w:val="1"/>
  </w:num>
  <w:num w:numId="4" w16cid:durableId="1039208281">
    <w:abstractNumId w:val="13"/>
  </w:num>
  <w:num w:numId="5" w16cid:durableId="1444962885">
    <w:abstractNumId w:val="14"/>
  </w:num>
  <w:num w:numId="6" w16cid:durableId="1405028492">
    <w:abstractNumId w:val="5"/>
  </w:num>
  <w:num w:numId="7" w16cid:durableId="210852499">
    <w:abstractNumId w:val="0"/>
  </w:num>
  <w:num w:numId="8" w16cid:durableId="23406076">
    <w:abstractNumId w:val="12"/>
  </w:num>
  <w:num w:numId="9" w16cid:durableId="1000234179">
    <w:abstractNumId w:val="11"/>
  </w:num>
  <w:num w:numId="10" w16cid:durableId="650017298">
    <w:abstractNumId w:val="9"/>
  </w:num>
  <w:num w:numId="11" w16cid:durableId="1843811613">
    <w:abstractNumId w:val="10"/>
  </w:num>
  <w:num w:numId="12" w16cid:durableId="2043087155">
    <w:abstractNumId w:val="3"/>
  </w:num>
  <w:num w:numId="13" w16cid:durableId="228077609">
    <w:abstractNumId w:val="6"/>
  </w:num>
  <w:num w:numId="14" w16cid:durableId="1641765402">
    <w:abstractNumId w:val="7"/>
  </w:num>
  <w:num w:numId="15" w16cid:durableId="6956210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19F"/>
    <w:rsid w:val="00A35F02"/>
    <w:rsid w:val="00DF719F"/>
    <w:rsid w:val="00F41364"/>
    <w:rsid w:val="00FA0146"/>
    <w:rsid w:val="00FB3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E1E2A"/>
  <w15:chartTrackingRefBased/>
  <w15:docId w15:val="{B9B8E047-E896-48A9-8D13-C94BD5F6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19F"/>
    <w:rPr>
      <w:rFonts w:eastAsiaTheme="majorEastAsia" w:cstheme="majorBidi"/>
      <w:color w:val="272727" w:themeColor="text1" w:themeTint="D8"/>
    </w:rPr>
  </w:style>
  <w:style w:type="paragraph" w:styleId="Title">
    <w:name w:val="Title"/>
    <w:basedOn w:val="Normal"/>
    <w:next w:val="Normal"/>
    <w:link w:val="TitleChar"/>
    <w:uiPriority w:val="10"/>
    <w:qFormat/>
    <w:rsid w:val="00DF7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19F"/>
    <w:pPr>
      <w:spacing w:before="160"/>
      <w:jc w:val="center"/>
    </w:pPr>
    <w:rPr>
      <w:i/>
      <w:iCs/>
      <w:color w:val="404040" w:themeColor="text1" w:themeTint="BF"/>
    </w:rPr>
  </w:style>
  <w:style w:type="character" w:customStyle="1" w:styleId="QuoteChar">
    <w:name w:val="Quote Char"/>
    <w:basedOn w:val="DefaultParagraphFont"/>
    <w:link w:val="Quote"/>
    <w:uiPriority w:val="29"/>
    <w:rsid w:val="00DF719F"/>
    <w:rPr>
      <w:i/>
      <w:iCs/>
      <w:color w:val="404040" w:themeColor="text1" w:themeTint="BF"/>
    </w:rPr>
  </w:style>
  <w:style w:type="paragraph" w:styleId="ListParagraph">
    <w:name w:val="List Paragraph"/>
    <w:basedOn w:val="Normal"/>
    <w:uiPriority w:val="34"/>
    <w:qFormat/>
    <w:rsid w:val="00DF719F"/>
    <w:pPr>
      <w:ind w:left="720"/>
      <w:contextualSpacing/>
    </w:pPr>
  </w:style>
  <w:style w:type="character" w:styleId="IntenseEmphasis">
    <w:name w:val="Intense Emphasis"/>
    <w:basedOn w:val="DefaultParagraphFont"/>
    <w:uiPriority w:val="21"/>
    <w:qFormat/>
    <w:rsid w:val="00DF719F"/>
    <w:rPr>
      <w:i/>
      <w:iCs/>
      <w:color w:val="0F4761" w:themeColor="accent1" w:themeShade="BF"/>
    </w:rPr>
  </w:style>
  <w:style w:type="paragraph" w:styleId="IntenseQuote">
    <w:name w:val="Intense Quote"/>
    <w:basedOn w:val="Normal"/>
    <w:next w:val="Normal"/>
    <w:link w:val="IntenseQuoteChar"/>
    <w:uiPriority w:val="30"/>
    <w:qFormat/>
    <w:rsid w:val="00DF7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19F"/>
    <w:rPr>
      <w:i/>
      <w:iCs/>
      <w:color w:val="0F4761" w:themeColor="accent1" w:themeShade="BF"/>
    </w:rPr>
  </w:style>
  <w:style w:type="character" w:styleId="IntenseReference">
    <w:name w:val="Intense Reference"/>
    <w:basedOn w:val="DefaultParagraphFont"/>
    <w:uiPriority w:val="32"/>
    <w:qFormat/>
    <w:rsid w:val="00DF719F"/>
    <w:rPr>
      <w:b/>
      <w:bCs/>
      <w:smallCaps/>
      <w:color w:val="0F4761" w:themeColor="accent1" w:themeShade="BF"/>
      <w:spacing w:val="5"/>
    </w:rPr>
  </w:style>
  <w:style w:type="character" w:styleId="PlaceholderText">
    <w:name w:val="Placeholder Text"/>
    <w:basedOn w:val="DefaultParagraphFont"/>
    <w:uiPriority w:val="99"/>
    <w:semiHidden/>
    <w:rsid w:val="00DF71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190041">
      <w:bodyDiv w:val="1"/>
      <w:marLeft w:val="0"/>
      <w:marRight w:val="0"/>
      <w:marTop w:val="0"/>
      <w:marBottom w:val="0"/>
      <w:divBdr>
        <w:top w:val="none" w:sz="0" w:space="0" w:color="auto"/>
        <w:left w:val="none" w:sz="0" w:space="0" w:color="auto"/>
        <w:bottom w:val="none" w:sz="0" w:space="0" w:color="auto"/>
        <w:right w:val="none" w:sz="0" w:space="0" w:color="auto"/>
      </w:divBdr>
    </w:div>
    <w:div w:id="444932542">
      <w:bodyDiv w:val="1"/>
      <w:marLeft w:val="0"/>
      <w:marRight w:val="0"/>
      <w:marTop w:val="0"/>
      <w:marBottom w:val="0"/>
      <w:divBdr>
        <w:top w:val="none" w:sz="0" w:space="0" w:color="auto"/>
        <w:left w:val="none" w:sz="0" w:space="0" w:color="auto"/>
        <w:bottom w:val="none" w:sz="0" w:space="0" w:color="auto"/>
        <w:right w:val="none" w:sz="0" w:space="0" w:color="auto"/>
      </w:divBdr>
    </w:div>
    <w:div w:id="893200503">
      <w:bodyDiv w:val="1"/>
      <w:marLeft w:val="0"/>
      <w:marRight w:val="0"/>
      <w:marTop w:val="0"/>
      <w:marBottom w:val="0"/>
      <w:divBdr>
        <w:top w:val="none" w:sz="0" w:space="0" w:color="auto"/>
        <w:left w:val="none" w:sz="0" w:space="0" w:color="auto"/>
        <w:bottom w:val="none" w:sz="0" w:space="0" w:color="auto"/>
        <w:right w:val="none" w:sz="0" w:space="0" w:color="auto"/>
      </w:divBdr>
    </w:div>
    <w:div w:id="1346517727">
      <w:bodyDiv w:val="1"/>
      <w:marLeft w:val="0"/>
      <w:marRight w:val="0"/>
      <w:marTop w:val="0"/>
      <w:marBottom w:val="0"/>
      <w:divBdr>
        <w:top w:val="none" w:sz="0" w:space="0" w:color="auto"/>
        <w:left w:val="none" w:sz="0" w:space="0" w:color="auto"/>
        <w:bottom w:val="none" w:sz="0" w:space="0" w:color="auto"/>
        <w:right w:val="none" w:sz="0" w:space="0" w:color="auto"/>
      </w:divBdr>
    </w:div>
    <w:div w:id="1532263955">
      <w:bodyDiv w:val="1"/>
      <w:marLeft w:val="0"/>
      <w:marRight w:val="0"/>
      <w:marTop w:val="0"/>
      <w:marBottom w:val="0"/>
      <w:divBdr>
        <w:top w:val="none" w:sz="0" w:space="0" w:color="auto"/>
        <w:left w:val="none" w:sz="0" w:space="0" w:color="auto"/>
        <w:bottom w:val="none" w:sz="0" w:space="0" w:color="auto"/>
        <w:right w:val="none" w:sz="0" w:space="0" w:color="auto"/>
      </w:divBdr>
    </w:div>
    <w:div w:id="178920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1312</TotalTime>
  <Pages>5</Pages>
  <Words>953</Words>
  <Characters>5435</Characters>
  <Application>Microsoft Office Word</Application>
  <DocSecurity>0</DocSecurity>
  <Lines>45</Lines>
  <Paragraphs>12</Paragraphs>
  <ScaleCrop>false</ScaleCrop>
  <Company>Bosch Group</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Abhijath Hemaranahalli Basavaraju (MS/ECP-PJ3-PS)</dc:creator>
  <cp:keywords/>
  <dc:description/>
  <cp:lastModifiedBy>Abhijath Hemaranahalli Basavaraju (MS/ECP-PJ3-PS)</cp:lastModifiedBy>
  <cp:revision>3</cp:revision>
  <dcterms:created xsi:type="dcterms:W3CDTF">2025-12-16T07:55:00Z</dcterms:created>
  <dcterms:modified xsi:type="dcterms:W3CDTF">2025-12-17T05:48:00Z</dcterms:modified>
</cp:coreProperties>
</file>