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E2448">
      <w:pPr>
        <w:pStyle w:val="30"/>
        <w:ind w:firstLine="0"/>
        <w:rPr>
          <w:color w:val="000000" w:themeColor="text1"/>
          <w:sz w:val="2"/>
          <w:szCs w:val="18"/>
          <w14:textFill>
            <w14:solidFill>
              <w14:schemeClr w14:val="tx1"/>
            </w14:solidFill>
          </w14:textFill>
        </w:rPr>
      </w:pPr>
      <w:r>
        <w:rPr>
          <w:color w:val="000000" w:themeColor="text1"/>
          <w:sz w:val="2"/>
          <w:szCs w:val="18"/>
          <w14:textFill>
            <w14:solidFill>
              <w14:schemeClr w14:val="tx1"/>
            </w14:solidFill>
          </w14:textFill>
        </w:rPr>
        <w:footnoteReference w:id="0" w:customMarkFollows="1"/>
        <w:sym w:font="Symbol" w:char="F020"/>
      </w:r>
    </w:p>
    <w:p w14:paraId="580946F9">
      <w:pPr>
        <w:pStyle w:val="24"/>
        <w:framePr/>
        <w:rPr>
          <w:color w:val="000000" w:themeColor="text1"/>
          <w:szCs w:val="32"/>
          <w14:textFill>
            <w14:solidFill>
              <w14:schemeClr w14:val="tx1"/>
            </w14:solidFill>
          </w14:textFill>
        </w:rPr>
      </w:pPr>
      <w:r>
        <w:rPr>
          <w:color w:val="000000" w:themeColor="text1"/>
          <w:szCs w:val="32"/>
          <w14:textFill>
            <w14:solidFill>
              <w14:schemeClr w14:val="tx1"/>
            </w14:solidFill>
          </w14:textFill>
        </w:rPr>
        <w:t>SmartLearn AI Extension: An Intelligent Quiz Generator Based on YouTube Interaction Tracking</w:t>
      </w:r>
    </w:p>
    <w:p w14:paraId="48B284CB">
      <w:pPr>
        <w:rPr>
          <w:color w:val="000000" w:themeColor="text1"/>
          <w14:textFill>
            <w14:solidFill>
              <w14:schemeClr w14:val="tx1"/>
            </w14:solidFill>
          </w14:textFill>
        </w:rPr>
      </w:pPr>
    </w:p>
    <w:p w14:paraId="76F4A8A1">
      <w:pPr>
        <w:pStyle w:val="26"/>
        <w:frame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Virendrakumar Dhotre, Ayush Pathak, Pankaj Bagul, Gaurang Bagwe, Abhijeet Bansode, Archini Patil</w:t>
      </w:r>
    </w:p>
    <w:p w14:paraId="4A827417">
      <w:pPr>
        <w:pStyle w:val="26"/>
        <w:framePr/>
        <w:spacing w:after="0"/>
        <w:rPr>
          <w:b/>
          <w:bCs/>
          <w:color w:val="000000" w:themeColor="text1"/>
          <w14:textFill>
            <w14:solidFill>
              <w14:schemeClr w14:val="tx1"/>
            </w14:solidFill>
          </w14:textFill>
        </w:rPr>
      </w:pPr>
      <w:r>
        <w:rPr>
          <w:b/>
          <w:bCs/>
          <w:color w:val="000000" w:themeColor="text1"/>
          <w14:textFill>
            <w14:solidFill>
              <w14:schemeClr w14:val="tx1"/>
            </w14:solidFill>
          </w14:textFill>
        </w:rPr>
        <w:t>Department of CSE-AIML</w:t>
      </w:r>
    </w:p>
    <w:p w14:paraId="22F61117">
      <w:pPr>
        <w:pStyle w:val="26"/>
        <w:framePr/>
        <w:spacing w:after="0"/>
        <w:rPr>
          <w:color w:val="000000" w:themeColor="text1"/>
          <w14:textFill>
            <w14:solidFill>
              <w14:schemeClr w14:val="tx1"/>
            </w14:solidFill>
          </w14:textFill>
        </w:rPr>
      </w:pPr>
      <w:r>
        <w:rPr>
          <w:b/>
          <w:bCs/>
          <w:color w:val="000000" w:themeColor="text1"/>
          <w14:textFill>
            <w14:solidFill>
              <w14:schemeClr w14:val="tx1"/>
            </w14:solidFill>
          </w14:textFill>
        </w:rPr>
        <w:t xml:space="preserve"> Vishwakarma Institute of Technology, Pune, Maharashtra, India </w:t>
      </w:r>
      <w:r>
        <w:rPr>
          <w:color w:val="000000" w:themeColor="text1"/>
          <w14:textFill>
            <w14:solidFill>
              <w14:schemeClr w14:val="tx1"/>
            </w14:solidFill>
          </w14:textFill>
        </w:rPr>
        <w:t xml:space="preserve">     </w:t>
      </w:r>
    </w:p>
    <w:p w14:paraId="765FB158">
      <w:pPr>
        <w:pStyle w:val="25"/>
        <w:rPr>
          <w:b w:val="0"/>
          <w:bCs w:val="0"/>
          <w:i/>
          <w:iCs/>
          <w:color w:val="000000" w:themeColor="text1"/>
          <w14:textFill>
            <w14:solidFill>
              <w14:schemeClr w14:val="tx1"/>
            </w14:solidFill>
          </w14:textFill>
        </w:rPr>
      </w:pPr>
      <w:r>
        <w:rPr>
          <w:i/>
          <w:iCs/>
          <w:color w:val="000000" w:themeColor="text1"/>
          <w:sz w:val="24"/>
          <w:szCs w:val="24"/>
          <w14:textFill>
            <w14:solidFill>
              <w14:schemeClr w14:val="tx1"/>
            </w14:solidFill>
          </w14:textFill>
        </w:rPr>
        <w:t xml:space="preserve">Abstract </w:t>
      </w:r>
      <w:r>
        <w:rPr>
          <w:b w:val="0"/>
          <w:i/>
          <w:color w:val="000000" w:themeColor="text1"/>
          <w:sz w:val="24"/>
          <w:szCs w:val="24"/>
          <w14:textFill>
            <w14:solidFill>
              <w14:schemeClr w14:val="tx1"/>
            </w14:solidFill>
          </w14:textFill>
        </w:rPr>
        <w:t>—</w:t>
      </w:r>
      <w:r>
        <w:rPr>
          <w:b w:val="0"/>
          <w:iCs/>
          <w:color w:val="000000" w:themeColor="text1"/>
          <w:sz w:val="24"/>
          <w:szCs w:val="24"/>
          <w14:textFill>
            <w14:solidFill>
              <w14:schemeClr w14:val="tx1"/>
            </w14:solidFill>
          </w14:textFill>
        </w:rPr>
        <w:t xml:space="preserve"> </w:t>
      </w:r>
      <w:r>
        <w:rPr>
          <w:b w:val="0"/>
          <w:bCs w:val="0"/>
          <w:color w:val="000000" w:themeColor="text1"/>
          <w:sz w:val="24"/>
          <w:szCs w:val="24"/>
          <w14:textFill>
            <w14:solidFill>
              <w14:schemeClr w14:val="tx1"/>
            </w14:solidFill>
          </w14:textFill>
        </w:rPr>
        <w:t>E-learning platforms have transformed modern education, yet most systems still rely on limited metrics such as total watch time or video completion percentage to evaluate learner engagement. Such metrics fail to capture how students actually interact with learning videos or identify which segments they find confusing. This paper presents SmartLearn AI, a Chrome extension that automatically tracks micro-interactions during video learning—such as play, pause, rewind, skip, and speed changes—and uses these signals to generate visual heatmaps indicating learner difficulty zones. The system extracts transcripts, maps concepts to video timestamps, and uses transformer-based natural language processing models to generate personalized quizzes and revision recommendations. The project aims to convert passive watching into active, personalized learning using a cross-platform, browser-based architecture. Early testing on real user interactions demonstrates strong potential for improving learning outcomes and providing deep behavioral insights.</w:t>
      </w:r>
      <w:r>
        <w:rPr>
          <w:b w:val="0"/>
          <w:bCs w:val="0"/>
          <w:i/>
          <w:iCs/>
          <w:color w:val="000000" w:themeColor="text1"/>
          <w:sz w:val="24"/>
          <w:szCs w:val="24"/>
          <w14:textFill>
            <w14:solidFill>
              <w14:schemeClr w14:val="tx1"/>
            </w14:solidFill>
          </w14:textFill>
        </w:rPr>
        <w:t>.</w:t>
      </w:r>
      <w:r>
        <w:rPr>
          <w:b w:val="0"/>
          <w:bCs w:val="0"/>
          <w:i/>
          <w:iCs/>
          <w:color w:val="000000" w:themeColor="text1"/>
          <w14:textFill>
            <w14:solidFill>
              <w14:schemeClr w14:val="tx1"/>
            </w14:solidFill>
          </w14:textFill>
        </w:rPr>
        <w:t xml:space="preserve"> </w:t>
      </w:r>
    </w:p>
    <w:p w14:paraId="60A38BDD">
      <w:pPr>
        <w:rPr>
          <w:color w:val="000000" w:themeColor="text1"/>
          <w14:textFill>
            <w14:solidFill>
              <w14:schemeClr w14:val="tx1"/>
            </w14:solidFill>
          </w14:textFill>
        </w:rPr>
      </w:pPr>
    </w:p>
    <w:p w14:paraId="50237980">
      <w:pPr>
        <w:rPr>
          <w:i/>
          <w:color w:val="000000" w:themeColor="text1"/>
          <w:sz w:val="24"/>
          <w:szCs w:val="24"/>
          <w14:textFill>
            <w14:solidFill>
              <w14:schemeClr w14:val="tx1"/>
            </w14:solidFill>
          </w14:textFill>
        </w:rPr>
      </w:pPr>
      <w:r>
        <w:rPr>
          <w:b/>
          <w:i/>
          <w:iCs/>
          <w:color w:val="000000" w:themeColor="text1"/>
          <w:sz w:val="24"/>
          <w:szCs w:val="24"/>
          <w14:textFill>
            <w14:solidFill>
              <w14:schemeClr w14:val="tx1"/>
            </w14:solidFill>
          </w14:textFill>
        </w:rPr>
        <w:t xml:space="preserve">Keywords </w:t>
      </w:r>
      <w:r>
        <w:rPr>
          <w:b/>
          <w:i/>
          <w:color w:val="000000" w:themeColor="text1"/>
          <w:sz w:val="24"/>
          <w:szCs w:val="24"/>
          <w14:textFill>
            <w14:solidFill>
              <w14:schemeClr w14:val="tx1"/>
            </w14:solidFill>
          </w14:textFill>
        </w:rPr>
        <w:t>—</w:t>
      </w:r>
      <w:r>
        <w:rPr>
          <w:i/>
          <w:color w:val="000000" w:themeColor="text1"/>
          <w:sz w:val="24"/>
          <w:szCs w:val="24"/>
          <w14:textFill>
            <w14:solidFill>
              <w14:schemeClr w14:val="tx1"/>
            </w14:solidFill>
          </w14:textFill>
        </w:rPr>
        <w:t xml:space="preserve"> Chrome Extension, Video Analytics, Heatmaps, Personalized Learning, AI Quiz Generator, E-learning, NLP, YouTube Tracking.</w:t>
      </w:r>
    </w:p>
    <w:p w14:paraId="7BF8F924">
      <w:pPr>
        <w:pStyle w:val="2"/>
        <w:rPr>
          <w:color w:val="000000" w:themeColor="text1"/>
          <w14:textFill>
            <w14:solidFill>
              <w14:schemeClr w14:val="tx1"/>
            </w14:solidFill>
          </w14:textFill>
        </w:rPr>
      </w:pPr>
      <w:r>
        <w:rPr>
          <w:color w:val="000000" w:themeColor="text1"/>
          <w14:textFill>
            <w14:solidFill>
              <w14:schemeClr w14:val="tx1"/>
            </w14:solidFill>
          </w14:textFill>
        </w:rPr>
        <w:t>INTRODUCTION</w:t>
      </w:r>
    </w:p>
    <w:p w14:paraId="4FE49A85">
      <w:pPr>
        <w:pStyle w:val="22"/>
        <w:jc w:val="both"/>
        <w:rPr>
          <w:b w:val="0"/>
          <w:bCs w:val="0"/>
          <w:color w:val="000000" w:themeColor="text1"/>
          <w:sz w:val="24"/>
          <w:szCs w:val="24"/>
          <w14:textFill>
            <w14:solidFill>
              <w14:schemeClr w14:val="tx1"/>
            </w14:solidFill>
          </w14:textFill>
        </w:rPr>
      </w:pPr>
      <w:r>
        <w:rPr>
          <w:b w:val="0"/>
          <w:bCs w:val="0"/>
          <w:color w:val="000000" w:themeColor="text1"/>
          <w:sz w:val="24"/>
          <w:szCs w:val="24"/>
          <w14:textFill>
            <w14:solidFill>
              <w14:schemeClr w14:val="tx1"/>
            </w14:solidFill>
          </w14:textFill>
        </w:rPr>
        <w:t xml:space="preserve">The rapid growth of online education has transformed the way learners consume academic content, with video-based learning emerging as one of the most dominant and accessible modes of instruction. Platforms such as YouTube, Coursera, Udemy, edX, NPTEL, and Khan Academy host millions of educational videos spanning diverse domains. However, despite this abundance of content, a significant gap persists in understanding </w:t>
      </w:r>
      <w:r>
        <w:rPr>
          <w:rStyle w:val="15"/>
          <w:b w:val="0"/>
          <w:bCs w:val="0"/>
          <w:color w:val="000000" w:themeColor="text1"/>
          <w:sz w:val="24"/>
          <w:szCs w:val="24"/>
          <w14:textFill>
            <w14:solidFill>
              <w14:schemeClr w14:val="tx1"/>
            </w14:solidFill>
          </w14:textFill>
        </w:rPr>
        <w:t>how</w:t>
      </w:r>
      <w:r>
        <w:rPr>
          <w:b w:val="0"/>
          <w:bCs w:val="0"/>
          <w:color w:val="000000" w:themeColor="text1"/>
          <w:sz w:val="24"/>
          <w:szCs w:val="24"/>
          <w14:textFill>
            <w14:solidFill>
              <w14:schemeClr w14:val="tx1"/>
            </w14:solidFill>
          </w14:textFill>
        </w:rPr>
        <w:t xml:space="preserve"> learners interact with these videos and </w:t>
      </w:r>
      <w:r>
        <w:rPr>
          <w:rStyle w:val="15"/>
          <w:b w:val="0"/>
          <w:bCs w:val="0"/>
          <w:color w:val="000000" w:themeColor="text1"/>
          <w:sz w:val="24"/>
          <w:szCs w:val="24"/>
          <w14:textFill>
            <w14:solidFill>
              <w14:schemeClr w14:val="tx1"/>
            </w14:solidFill>
          </w14:textFill>
        </w:rPr>
        <w:t>which specific segments</w:t>
      </w:r>
      <w:r>
        <w:rPr>
          <w:b w:val="0"/>
          <w:bCs w:val="0"/>
          <w:color w:val="000000" w:themeColor="text1"/>
          <w:sz w:val="24"/>
          <w:szCs w:val="24"/>
          <w14:textFill>
            <w14:solidFill>
              <w14:schemeClr w14:val="tx1"/>
            </w14:solidFill>
          </w14:textFill>
        </w:rPr>
        <w:t xml:space="preserve"> contribute to their comprehension or confusion. Existing analytics tools provided by online platforms offer only coarse-grained data such as total watch time, view count, or video completion percentage. These metrics are insufficient to capture deeper cognitive behaviors such as re</w:t>
      </w:r>
      <w:r>
        <w:rPr>
          <w:rFonts w:hint="default"/>
          <w:b w:val="0"/>
          <w:bCs w:val="0"/>
          <w:color w:val="000000" w:themeColor="text1"/>
          <w:sz w:val="24"/>
          <w:szCs w:val="24"/>
          <w:lang w:val="en-IN"/>
          <w14:textFill>
            <w14:solidFill>
              <w14:schemeClr w14:val="tx1"/>
            </w14:solidFill>
          </w14:textFill>
        </w:rPr>
        <w:t>-</w:t>
      </w:r>
      <w:r>
        <w:rPr>
          <w:b w:val="0"/>
          <w:bCs w:val="0"/>
          <w:color w:val="000000" w:themeColor="text1"/>
          <w:sz w:val="24"/>
          <w:szCs w:val="24"/>
          <w14:textFill>
            <w14:solidFill>
              <w14:schemeClr w14:val="tx1"/>
            </w14:solidFill>
          </w14:textFill>
        </w:rPr>
        <w:t>watching, replaying, pausing to take notes, skipping difficult concepts, or frequently adjusting playback speed. Without such insights, it becomes difficult to identify areas where learners struggle the most.</w:t>
      </w:r>
    </w:p>
    <w:p w14:paraId="1008BEE1">
      <w:pPr>
        <w:pStyle w:val="22"/>
        <w:jc w:val="both"/>
        <w:rPr>
          <w:b w:val="0"/>
          <w:bCs w:val="0"/>
          <w:color w:val="000000" w:themeColor="text1"/>
          <w:sz w:val="24"/>
          <w:szCs w:val="24"/>
          <w14:textFill>
            <w14:solidFill>
              <w14:schemeClr w14:val="tx1"/>
            </w14:solidFill>
          </w14:textFill>
        </w:rPr>
      </w:pPr>
      <w:r>
        <w:rPr>
          <w:b w:val="0"/>
          <w:bCs w:val="0"/>
          <w:color w:val="000000" w:themeColor="text1"/>
          <w:sz w:val="24"/>
          <w:szCs w:val="24"/>
          <w14:textFill>
            <w14:solidFill>
              <w14:schemeClr w14:val="tx1"/>
            </w14:solidFill>
          </w14:textFill>
        </w:rPr>
        <w:t>Modern educational research highlights that micro-interactions such as pauses, rewinds, repeats, and forward skips serve as strong indicators of learner engagement and cognitive load. Studies from MIT and other institutions have shown that repeated rewinds often represent moments of confusion, whereas extended pauses indicate deeper reflection or difficulty absorbing information. Yet, despite their pedagogical value, such rich interactions remain underutilized due to the lack of universal tools capable of capturing them across platforms. Furthermore, current e-learning systems rarely integrate these interaction patterns into adaptive learning mechanisms that can provide targeted support to individual learners.</w:t>
      </w:r>
    </w:p>
    <w:p w14:paraId="3A8F7A0E">
      <w:pPr>
        <w:pStyle w:val="22"/>
        <w:jc w:val="both"/>
        <w:rPr>
          <w:b w:val="0"/>
          <w:bCs w:val="0"/>
          <w:color w:val="000000" w:themeColor="text1"/>
          <w:sz w:val="24"/>
          <w:szCs w:val="24"/>
          <w14:textFill>
            <w14:solidFill>
              <w14:schemeClr w14:val="tx1"/>
            </w14:solidFill>
          </w14:textFill>
        </w:rPr>
      </w:pPr>
      <w:r>
        <w:rPr>
          <w:b w:val="0"/>
          <w:bCs w:val="0"/>
          <w:color w:val="000000" w:themeColor="text1"/>
          <w:sz w:val="24"/>
          <w:szCs w:val="24"/>
          <w14:textFill>
            <w14:solidFill>
              <w14:schemeClr w14:val="tx1"/>
            </w14:solidFill>
          </w14:textFill>
        </w:rPr>
        <w:t xml:space="preserve">To bridge this gap, </w:t>
      </w:r>
      <w:r>
        <w:rPr>
          <w:rFonts w:hint="default"/>
          <w:b w:val="0"/>
          <w:bCs w:val="0"/>
          <w:color w:val="000000" w:themeColor="text1"/>
          <w:sz w:val="24"/>
          <w:szCs w:val="24"/>
          <w:lang w:val="en-IN"/>
          <w14:textFill>
            <w14:solidFill>
              <w14:schemeClr w14:val="tx1"/>
            </w14:solidFill>
          </w14:textFill>
        </w:rPr>
        <w:t xml:space="preserve">we present </w:t>
      </w:r>
      <w:r>
        <w:rPr>
          <w:rStyle w:val="23"/>
          <w:b w:val="0"/>
          <w:bCs w:val="0"/>
          <w:color w:val="000000" w:themeColor="text1"/>
          <w:sz w:val="24"/>
          <w:szCs w:val="24"/>
          <w14:textFill>
            <w14:solidFill>
              <w14:schemeClr w14:val="tx1"/>
            </w14:solidFill>
          </w14:textFill>
        </w:rPr>
        <w:t>SmartLearn AI</w:t>
      </w:r>
      <w:r>
        <w:rPr>
          <w:b w:val="0"/>
          <w:bCs w:val="0"/>
          <w:color w:val="000000" w:themeColor="text1"/>
          <w:sz w:val="24"/>
          <w:szCs w:val="24"/>
          <w14:textFill>
            <w14:solidFill>
              <w14:schemeClr w14:val="tx1"/>
            </w14:solidFill>
          </w14:textFill>
        </w:rPr>
        <w:t>, a novel Chrome extension designed to capture real-time video interaction data from any HTML5-based video platform. Unlike built-in platform analytics, SmartLearn AI operates at the browser level, making it platform-independent and capable of tracking learning behavior across YouTube and other educational websites. The extension logs granular events such as play, pause, rewind, skip, forward navigation, and playback speed modifications, along with corresponding timestamps. These logs are processed to generate intuitive heatmaps that visualize “confusion density” and highlight segments where learners show repeated difficulty.</w:t>
      </w:r>
    </w:p>
    <w:p w14:paraId="2D4A4D65">
      <w:pPr>
        <w:pStyle w:val="22"/>
        <w:jc w:val="both"/>
        <w:rPr>
          <w:b w:val="0"/>
          <w:bCs w:val="0"/>
          <w:color w:val="000000" w:themeColor="text1"/>
          <w:sz w:val="24"/>
          <w:szCs w:val="24"/>
          <w14:textFill>
            <w14:solidFill>
              <w14:schemeClr w14:val="tx1"/>
            </w14:solidFill>
          </w14:textFill>
        </w:rPr>
      </w:pPr>
      <w:r>
        <w:rPr>
          <w:b w:val="0"/>
          <w:bCs w:val="0"/>
          <w:color w:val="000000" w:themeColor="text1"/>
          <w:sz w:val="24"/>
          <w:szCs w:val="24"/>
          <w14:textFill>
            <w14:solidFill>
              <w14:schemeClr w14:val="tx1"/>
            </w14:solidFill>
          </w14:textFill>
        </w:rPr>
        <w:t>In addition to behavioral tracking, SmartLearn AI integrates a natural language processing (NLP)-based engine that processes video transcripts, extracts key concepts, and generates personalized quizzes. These quizzes directly target the segments marked as difficult by the heatmap, thereby transforming passive video consumption into an active learning process. The system also provides revision recommendations, progress tracking, and topic-level analytics that support both learners and educators.</w:t>
      </w:r>
    </w:p>
    <w:p w14:paraId="27E7FBC7">
      <w:pPr>
        <w:pStyle w:val="22"/>
        <w:jc w:val="both"/>
        <w:rPr>
          <w:b w:val="0"/>
          <w:bCs w:val="0"/>
          <w:color w:val="000000" w:themeColor="text1"/>
          <w:sz w:val="24"/>
          <w:szCs w:val="24"/>
          <w14:textFill>
            <w14:solidFill>
              <w14:schemeClr w14:val="tx1"/>
            </w14:solidFill>
          </w14:textFill>
        </w:rPr>
      </w:pPr>
      <w:r>
        <w:rPr>
          <w:b w:val="0"/>
          <w:bCs w:val="0"/>
          <w:color w:val="000000" w:themeColor="text1"/>
          <w:sz w:val="24"/>
          <w:szCs w:val="24"/>
          <w14:textFill>
            <w14:solidFill>
              <w14:schemeClr w14:val="tx1"/>
            </w14:solidFill>
          </w14:textFill>
        </w:rPr>
        <w:t>Through this approach, SmartLearn AI aims to create a closed-loop learning cycle (</w:t>
      </w:r>
      <w:r>
        <w:rPr>
          <w:rStyle w:val="23"/>
          <w:b w:val="0"/>
          <w:bCs w:val="0"/>
          <w:color w:val="000000" w:themeColor="text1"/>
          <w:sz w:val="24"/>
          <w:szCs w:val="24"/>
          <w14:textFill>
            <w14:solidFill>
              <w14:schemeClr w14:val="tx1"/>
            </w14:solidFill>
          </w14:textFill>
        </w:rPr>
        <w:t>watch → interact → analyze → practice → improve</w:t>
      </w:r>
      <w:r>
        <w:rPr>
          <w:b w:val="0"/>
          <w:bCs w:val="0"/>
          <w:color w:val="000000" w:themeColor="text1"/>
          <w:sz w:val="24"/>
          <w:szCs w:val="24"/>
          <w14:textFill>
            <w14:solidFill>
              <w14:schemeClr w14:val="tx1"/>
            </w14:solidFill>
          </w14:textFill>
        </w:rPr>
        <w:t>) driven entirely by real usage data and intelligent automation. By combining browser-based instrumentation with modern AI techniques, the system provides a robust, scalable, and platform-agnostic solution for personalized learning enhancement.</w:t>
      </w:r>
    </w:p>
    <w:p w14:paraId="180E073C">
      <w:pPr>
        <w:pStyle w:val="2"/>
        <w:rPr>
          <w:color w:val="000000" w:themeColor="text1"/>
          <w14:textFill>
            <w14:solidFill>
              <w14:schemeClr w14:val="tx1"/>
            </w14:solidFill>
          </w14:textFill>
        </w:rPr>
      </w:pPr>
      <w:r>
        <w:rPr>
          <w:color w:val="000000" w:themeColor="text1"/>
          <w14:textFill>
            <w14:solidFill>
              <w14:schemeClr w14:val="tx1"/>
            </w14:solidFill>
          </w14:textFill>
        </w:rPr>
        <w:t>LITERATURE REVIEW</w:t>
      </w:r>
    </w:p>
    <w:p w14:paraId="6CF0B159">
      <w:pPr>
        <w:pStyle w:val="22"/>
        <w:keepNext w:val="0"/>
        <w:keepLines w:val="0"/>
        <w:widowControl/>
        <w:suppressLineNumbers w:val="0"/>
      </w:pPr>
      <w:r>
        <w:t>The proliferation of video-based learning across online education platforms has motivated considerable interest in understanding how learners engage with instructional videos — not just how long they watch, but how they interact with the content via pauses, rewinds, seeking, and other micro-behaviors. Such interaction data (clickstream / event logs) provides a much richer signal than coarse metrics like view count or overall watch time, and can yield insight into learner comprehension, confusion, and study strategies. SmartLearn AI builds on this line of work by combining fine-grained interaction analytics with transcript-based automatic question generation, closing the loop between behavior and adaptive assessment.</w:t>
      </w:r>
    </w:p>
    <w:p w14:paraId="5CB526B4">
      <w:pPr>
        <w:pStyle w:val="4"/>
        <w:keepNext w:val="0"/>
        <w:keepLines w:val="0"/>
        <w:widowControl/>
        <w:suppressLineNumbers w:val="0"/>
      </w:pPr>
      <w:r>
        <w:t>Video Analytics &amp; Learner Behavior Studies</w:t>
      </w:r>
    </w:p>
    <w:p w14:paraId="1289E99B">
      <w:pPr>
        <w:pStyle w:val="22"/>
        <w:keepNext w:val="0"/>
        <w:keepLines w:val="0"/>
        <w:widowControl/>
        <w:suppressLineNumbers w:val="0"/>
      </w:pPr>
      <w:r>
        <w:t xml:space="preserve">A major contribution in this domain is the recent work </w:t>
      </w:r>
      <w:r>
        <w:rPr>
          <w:rStyle w:val="23"/>
        </w:rPr>
        <w:t>Video Analytics in Digital Learning Environments: Exploring Student Behaviour Across Different Learning Contexts</w:t>
      </w:r>
      <w:r>
        <w:t xml:space="preserve">, which contrasted learner video-engagement patterns across three different contexts — SPOC, MOOC, and traditional university courses. Their findings reveal that video engagement (e.g., number of plays, pauses, seeks) strongly depends on context, video type, and video length; importantly, the content type and learning context significantly mediate how learners use video. </w:t>
      </w:r>
      <w:r>
        <w:fldChar w:fldCharType="begin"/>
      </w:r>
      <w:r>
        <w:instrText xml:space="preserve"> HYPERLINK "https://link.springer.com/article/10.1007/s10758-023-09680-8?utm_source=chatgpt.com" \t "C:\\Users\\ARCHIN~1\\AppData\\Local\\Temp\\_blank" </w:instrText>
      </w:r>
      <w:r>
        <w:fldChar w:fldCharType="separate"/>
      </w:r>
      <w:r>
        <w:rPr>
          <w:rStyle w:val="21"/>
        </w:rPr>
        <w:t>Springer Link</w:t>
      </w:r>
      <w:r>
        <w:fldChar w:fldCharType="end"/>
      </w:r>
    </w:p>
    <w:p w14:paraId="3EEF7D9F">
      <w:pPr>
        <w:pStyle w:val="22"/>
        <w:keepNext w:val="0"/>
        <w:keepLines w:val="0"/>
        <w:widowControl/>
        <w:suppressLineNumbers w:val="0"/>
      </w:pPr>
      <w:r>
        <w:t xml:space="preserve">Other empirical work further links micro-interaction behaviors with learning performance. For instance, the study </w:t>
      </w:r>
      <w:r>
        <w:rPr>
          <w:rStyle w:val="23"/>
        </w:rPr>
        <w:t>The use of video clickstream data to predict university students' test performance: A comprehensive educational data mining approach</w:t>
      </w:r>
      <w:r>
        <w:t xml:space="preserve"> found that behaviors such as frequent pauses, backward seeks, and total click counts correlate positively with better test outcomes. </w:t>
      </w:r>
      <w:r>
        <w:fldChar w:fldCharType="begin"/>
      </w:r>
      <w:r>
        <w:instrText xml:space="preserve"> HYPERLINK "https://pubmed.ncbi.nlm.nih.gov/36338598/?utm_source=chatgpt.com" \t "C:\\Users\\ARCHIN~1\\AppData\\Local\\Temp\\_blank" </w:instrText>
      </w:r>
      <w:r>
        <w:fldChar w:fldCharType="separate"/>
      </w:r>
      <w:r>
        <w:rPr>
          <w:rStyle w:val="21"/>
        </w:rPr>
        <w:t>PubMed</w:t>
      </w:r>
      <w:r>
        <w:fldChar w:fldCharType="end"/>
      </w:r>
      <w:r>
        <w:t xml:space="preserve"> Similarly, </w:t>
      </w:r>
      <w:r>
        <w:rPr>
          <w:rStyle w:val="23"/>
        </w:rPr>
        <w:t>Predicting learner's performance through video sequences viewing behavior analysis using educational data</w:t>
      </w:r>
      <w:r>
        <w:rPr>
          <w:rStyle w:val="23"/>
        </w:rPr>
        <w:noBreakHyphen/>
      </w:r>
      <w:r>
        <w:rPr>
          <w:rStyle w:val="23"/>
        </w:rPr>
        <w:t>mining</w:t>
      </w:r>
      <w:r>
        <w:t xml:space="preserve"> models navigation over pedagogical video segments and shows that such navigation patterns can predict whether learners pass or fail a video course. </w:t>
      </w:r>
      <w:r>
        <w:fldChar w:fldCharType="begin"/>
      </w:r>
      <w:r>
        <w:instrText xml:space="preserve"> HYPERLINK "https://pubmed.ncbi.nlm.nih.gov/33967589/?utm_source=chatgpt.com" \t "C:\\Users\\ARCHIN~1\\AppData\\Local\\Temp\\_blank" </w:instrText>
      </w:r>
      <w:r>
        <w:fldChar w:fldCharType="separate"/>
      </w:r>
      <w:r>
        <w:rPr>
          <w:rStyle w:val="21"/>
        </w:rPr>
        <w:t>PubMed</w:t>
      </w:r>
      <w:r>
        <w:fldChar w:fldCharType="end"/>
      </w:r>
    </w:p>
    <w:p w14:paraId="14D5EF3F">
      <w:pPr>
        <w:pStyle w:val="22"/>
        <w:keepNext w:val="0"/>
        <w:keepLines w:val="0"/>
        <w:widowControl/>
        <w:suppressLineNumbers w:val="0"/>
      </w:pPr>
      <w:r>
        <w:t xml:space="preserve">More broadly, </w:t>
      </w:r>
      <w:r>
        <w:rPr>
          <w:rStyle w:val="23"/>
        </w:rPr>
        <w:t>Active learning with online video: The impact of learning context on engagement</w:t>
      </w:r>
      <w:r>
        <w:t xml:space="preserve"> investigates how students’ goals (e.g., reflect, clarify, search, skim) when watching video influence their clickstream behaviors, and how context (online versus blended courses, exam week, re-watching) affects the nature of interaction. They document that learners use video adaptively: during exam periods or revision, they tend to search and re-watch rather than watch linearly, highlighting the dynamic and strategic role of video interactions in self-regulated learning. </w:t>
      </w:r>
      <w:r>
        <w:fldChar w:fldCharType="begin"/>
      </w:r>
      <w:r>
        <w:instrText xml:space="preserve"> HYPERLINK "https://www.sciencedirect.com/science/article/abs/pii/S0360131521000099?utm_source=chatgpt.com" \t "C:\\Users\\ARCHIN~1\\AppData\\Local\\Temp\\_blank" </w:instrText>
      </w:r>
      <w:r>
        <w:fldChar w:fldCharType="separate"/>
      </w:r>
      <w:r>
        <w:rPr>
          <w:rStyle w:val="21"/>
        </w:rPr>
        <w:t>ScienceDirect</w:t>
      </w:r>
      <w:r>
        <w:fldChar w:fldCharType="end"/>
      </w:r>
    </w:p>
    <w:p w14:paraId="3BACD576">
      <w:pPr>
        <w:pStyle w:val="22"/>
        <w:keepNext w:val="0"/>
        <w:keepLines w:val="0"/>
        <w:widowControl/>
        <w:suppressLineNumbers w:val="0"/>
      </w:pPr>
      <w:r>
        <w:t xml:space="preserve">Finally, more recent work such as </w:t>
      </w:r>
      <w:r>
        <w:rPr>
          <w:rStyle w:val="23"/>
        </w:rPr>
        <w:t>From Formulas to Figures: How Visual Elements Impact User Interactions in Educational Videos</w:t>
      </w:r>
      <w:r>
        <w:t xml:space="preserve"> explores how the </w:t>
      </w:r>
      <w:r>
        <w:rPr>
          <w:rStyle w:val="15"/>
        </w:rPr>
        <w:t>visual complexity</w:t>
      </w:r>
      <w:r>
        <w:t xml:space="preserve"> of video frames — e.g., presence of formulas, diagrams, dense text — correlates with interaction behavior. Their study of physics/chemistry lecture videos found that segments with high visual complexity saw significantly increased pausing, rewinding, and drop-out. This suggests that micro-interaction analytics can serve pedagogical purposes, helping content designers identify challenging segments and refine video production accordingly. </w:t>
      </w:r>
      <w:r>
        <w:fldChar w:fldCharType="begin"/>
      </w:r>
      <w:r>
        <w:instrText xml:space="preserve"> HYPERLINK "https://arxiv.org/abs/2505.01753?utm_source=chatgpt.com" \t "C:\\Users\\ARCHIN~1\\AppData\\Local\\Temp\\_blank" </w:instrText>
      </w:r>
      <w:r>
        <w:fldChar w:fldCharType="separate"/>
      </w:r>
      <w:r>
        <w:rPr>
          <w:rStyle w:val="21"/>
        </w:rPr>
        <w:t>arXiv</w:t>
      </w:r>
      <w:r>
        <w:fldChar w:fldCharType="end"/>
      </w:r>
    </w:p>
    <w:p w14:paraId="5AAA86C5">
      <w:pPr>
        <w:pStyle w:val="22"/>
        <w:keepNext w:val="0"/>
        <w:keepLines w:val="0"/>
        <w:widowControl/>
        <w:suppressLineNumbers w:val="0"/>
        <w:rPr>
          <w:rStyle w:val="23"/>
        </w:rPr>
      </w:pPr>
      <w:r>
        <w:rPr>
          <w:rStyle w:val="23"/>
        </w:rPr>
        <w:t>Limitations in prior work:</w:t>
      </w:r>
    </w:p>
    <w:p w14:paraId="551B61A2">
      <w:pPr>
        <w:pStyle w:val="22"/>
        <w:keepNext w:val="0"/>
        <w:keepLines w:val="0"/>
        <w:widowControl/>
        <w:suppressLineNumbers w:val="0"/>
      </w:pPr>
      <w:r>
        <w:t>Most existing video-analytics research remains within institutional (MOOC / SPOC / university LMS) environments, relying on platform-specific data and often not transferable across platforms.</w:t>
      </w:r>
    </w:p>
    <w:p w14:paraId="6D4A374A">
      <w:pPr>
        <w:pStyle w:val="22"/>
        <w:keepNext w:val="0"/>
        <w:keepLines w:val="0"/>
        <w:widowControl/>
        <w:suppressLineNumbers w:val="0"/>
      </w:pPr>
      <w:r>
        <w:t xml:space="preserve">While many clickstream-based studies correlate interaction behavior with performance or retention, they seldom link such behavior to </w:t>
      </w:r>
      <w:r>
        <w:rPr>
          <w:rStyle w:val="15"/>
        </w:rPr>
        <w:t>content-aware remediation or adaptive learning support</w:t>
      </w:r>
      <w:r>
        <w:t>.</w:t>
      </w:r>
    </w:p>
    <w:p w14:paraId="667AC072">
      <w:pPr>
        <w:pStyle w:val="22"/>
        <w:keepNext w:val="0"/>
        <w:keepLines w:val="0"/>
        <w:widowControl/>
        <w:suppressLineNumbers w:val="0"/>
      </w:pPr>
      <w:r>
        <w:t>Few systems combine interaction data and content transcripts to generate learner-facing learning aids (e.g., quizzes or revision material).</w:t>
      </w:r>
    </w:p>
    <w:p w14:paraId="6342C2C1">
      <w:pPr>
        <w:pStyle w:val="22"/>
        <w:keepNext w:val="0"/>
        <w:keepLines w:val="0"/>
        <w:widowControl/>
        <w:suppressLineNumbers w:val="0"/>
      </w:pPr>
      <w:r>
        <w:t>This gap motivates a more integrated, platform-agnostic solution — exactly what SmartLearn AI aims to provide.</w:t>
      </w:r>
    </w:p>
    <w:p w14:paraId="48C3E3E6">
      <w:pPr>
        <w:pStyle w:val="4"/>
        <w:keepNext w:val="0"/>
        <w:keepLines w:val="0"/>
        <w:widowControl/>
        <w:suppressLineNumbers w:val="0"/>
      </w:pPr>
      <w:r>
        <w:t>Automatic Question Generation &amp; Transcript-Based Assessment</w:t>
      </w:r>
    </w:p>
    <w:p w14:paraId="52650A0F">
      <w:pPr>
        <w:pStyle w:val="22"/>
        <w:keepNext w:val="0"/>
        <w:keepLines w:val="0"/>
        <w:widowControl/>
        <w:suppressLineNumbers w:val="0"/>
      </w:pPr>
      <w:r>
        <w:t>Beyond behavior analytics, educational research has also explored generating assessment and learning artifacts directly from video transcripts. Traditional methods use templates, keyphrase extraction, and named entity recognition to build factual or cloze-style questions. More recently, with advances in NLP and transformer models, systems have demonstrated greater sophistication: producing multi-hop questions, summarizations, and context-aware quizzes.</w:t>
      </w:r>
    </w:p>
    <w:p w14:paraId="7E863CD9">
      <w:pPr>
        <w:pStyle w:val="22"/>
        <w:keepNext w:val="0"/>
        <w:keepLines w:val="0"/>
        <w:widowControl/>
        <w:suppressLineNumbers w:val="0"/>
      </w:pPr>
      <w:r>
        <w:t xml:space="preserve">For instance, </w:t>
      </w:r>
      <w:r>
        <w:rPr>
          <w:rStyle w:val="23"/>
        </w:rPr>
        <w:t>Mining MOOC Clickstreams: On the Relationship Between Learner Behavior and Performance</w:t>
      </w:r>
      <w:r>
        <w:t xml:space="preserve"> noted that repeated “reflecting” behaviors (like play–pause sequences) often correspond to areas needing revision; combining that with transcript parsing might enable tailored quiz generation. </w:t>
      </w:r>
      <w:r>
        <w:fldChar w:fldCharType="begin"/>
      </w:r>
      <w:r>
        <w:instrText xml:space="preserve"> HYPERLINK "https://arxiv.org/abs/1503.06489?utm_source=chatgpt.com" \t "C:\\Users\\ARCHIN~1\\AppData\\Local\\Temp\\_blank" </w:instrText>
      </w:r>
      <w:r>
        <w:fldChar w:fldCharType="separate"/>
      </w:r>
      <w:r>
        <w:rPr>
          <w:rStyle w:val="21"/>
        </w:rPr>
        <w:t>arXiv</w:t>
      </w:r>
      <w:r>
        <w:fldChar w:fldCharType="end"/>
      </w:r>
      <w:r>
        <w:t xml:space="preserve"> Additionally, studies such as </w:t>
      </w:r>
      <w:r>
        <w:rPr>
          <w:rStyle w:val="23"/>
        </w:rPr>
        <w:t>Dropout Prediction over Weeks in MOOCs by Learning Representations of Clicks and Videos</w:t>
      </w:r>
      <w:r>
        <w:t xml:space="preserve"> have attempted to learn joint representations of video content and user click behavior for dropout prediction, highlighting the potential of fusing content and interaction data for better insight. </w:t>
      </w:r>
      <w:r>
        <w:fldChar w:fldCharType="begin"/>
      </w:r>
      <w:r>
        <w:instrText xml:space="preserve"> HYPERLINK "https://arxiv.org/abs/2002.01955?utm_source=chatgpt.com" \t "C:\\Users\\ARCHIN~1\\AppData\\Local\\Temp\\_blank" </w:instrText>
      </w:r>
      <w:r>
        <w:fldChar w:fldCharType="separate"/>
      </w:r>
      <w:r>
        <w:rPr>
          <w:rStyle w:val="21"/>
        </w:rPr>
        <w:t>arXiv</w:t>
      </w:r>
      <w:r>
        <w:fldChar w:fldCharType="end"/>
      </w:r>
    </w:p>
    <w:p w14:paraId="038B6507">
      <w:pPr>
        <w:pStyle w:val="22"/>
        <w:keepNext w:val="0"/>
        <w:keepLines w:val="0"/>
        <w:widowControl/>
        <w:suppressLineNumbers w:val="0"/>
      </w:pPr>
      <w:r>
        <w:t xml:space="preserve">More broadly, a recent survey </w:t>
      </w:r>
      <w:r>
        <w:rPr>
          <w:rStyle w:val="23"/>
        </w:rPr>
        <w:t>A Closer Look into Recent Video-based Learning Research: A Comprehensive Review of Video Characteristics, Tools, Technologies, and Learning Effectiveness</w:t>
      </w:r>
      <w:r>
        <w:t xml:space="preserve"> (2025) synthesizes findings on how video characteristics such as length, pacing, and embedded interaction (quizzes, annotations) affect learning effectiveness. They emphasize that while video completion and watch-time remain useful, they understate cognitive engagement; richer interaction logging, when linked to transcript and content metadata, offers a promising path for building adaptive learning tools. </w:t>
      </w:r>
      <w:r>
        <w:fldChar w:fldCharType="begin"/>
      </w:r>
      <w:r>
        <w:instrText xml:space="preserve"> HYPERLINK "https://link.springer.com/article/10.1007/s40593-025-00481-x?utm_source=chatgpt.com" \t "C:\\Users\\ARCHIN~1\\AppData\\Local\\Temp\\_blank" </w:instrText>
      </w:r>
      <w:r>
        <w:fldChar w:fldCharType="separate"/>
      </w:r>
      <w:r>
        <w:rPr>
          <w:rStyle w:val="21"/>
        </w:rPr>
        <w:t>Springer Link</w:t>
      </w:r>
      <w:r>
        <w:fldChar w:fldCharType="end"/>
      </w:r>
    </w:p>
    <w:p w14:paraId="63E43C01">
      <w:pPr>
        <w:pStyle w:val="4"/>
        <w:keepNext w:val="0"/>
        <w:keepLines w:val="0"/>
        <w:widowControl/>
        <w:suppressLineNumbers w:val="0"/>
      </w:pPr>
      <w:r>
        <w:t>Where SmartLearn AI Advances the Field</w:t>
      </w:r>
    </w:p>
    <w:p w14:paraId="723AE5A8">
      <w:pPr>
        <w:pStyle w:val="22"/>
        <w:keepNext w:val="0"/>
        <w:keepLines w:val="0"/>
        <w:widowControl/>
        <w:suppressLineNumbers w:val="0"/>
      </w:pPr>
      <w:r>
        <w:t xml:space="preserve">SmartLearn AI situates itself at the intersection of these two research trajectories — behavior analytics </w:t>
      </w:r>
      <w:r>
        <w:rPr>
          <w:rStyle w:val="23"/>
        </w:rPr>
        <w:t>and</w:t>
      </w:r>
      <w:r>
        <w:t xml:space="preserve"> content-aware assessment generation — while addressing several limitations of prior work:</w:t>
      </w:r>
    </w:p>
    <w:p w14:paraId="2D106A46">
      <w:pPr>
        <w:pStyle w:val="22"/>
        <w:keepNext w:val="0"/>
        <w:keepLines w:val="0"/>
        <w:widowControl/>
        <w:suppressLineNumbers w:val="0"/>
      </w:pPr>
      <w:r>
        <w:rPr>
          <w:rStyle w:val="23"/>
        </w:rPr>
        <w:t>Platform-agnostic and browser-level instrumentation:</w:t>
      </w:r>
      <w:r>
        <w:t xml:space="preserve"> Unlike most previous studies that rely on platform-provided clickstream (MOOCs, LMS), SmartLearn AI operates at the browser extension level, capturing micro-interactions across any HTML5-based video platform (e.g., YouTube, lecture hosting sites), making it widely usable without requiring platform cooperation.</w:t>
      </w:r>
    </w:p>
    <w:p w14:paraId="3D3DC21C">
      <w:pPr>
        <w:pStyle w:val="22"/>
        <w:keepNext w:val="0"/>
        <w:keepLines w:val="0"/>
        <w:widowControl/>
        <w:suppressLineNumbers w:val="0"/>
      </w:pPr>
      <w:r>
        <w:rPr>
          <w:rStyle w:val="23"/>
        </w:rPr>
        <w:t>Content-aware heatmaps (“confusion density”):</w:t>
      </w:r>
      <w:r>
        <w:t xml:space="preserve"> By aggregating events such as pause, rewind, skip, and speed changes into weighted heatmaps, SmartLearn AI derives a meaningful signal of learner difficulty — informed by behavioral research showing that these events correlate with confusion or cognitive load. This echoes findings of the “From Formulas to Figures” study but applies them in a generalized tool rather than per-video manual analysis.</w:t>
      </w:r>
    </w:p>
    <w:p w14:paraId="1F9EB723">
      <w:pPr>
        <w:pStyle w:val="22"/>
        <w:keepNext w:val="0"/>
        <w:keepLines w:val="0"/>
        <w:widowControl/>
        <w:suppressLineNumbers w:val="0"/>
      </w:pPr>
      <w:r>
        <w:rPr>
          <w:rStyle w:val="23"/>
        </w:rPr>
        <w:t>Transcript-based personalized quiz generation:</w:t>
      </w:r>
      <w:r>
        <w:t xml:space="preserve"> By coupling interaction heatmaps with transcript parsing and automatic question generation (via NLP / template or LLM-based methods), SmartLearn AI directly converts areas of struggle into targeted practice material — an integration that, to our knowledge, is rare or absent in existing tools.</w:t>
      </w:r>
    </w:p>
    <w:p w14:paraId="37DF5E35">
      <w:pPr>
        <w:pStyle w:val="22"/>
        <w:keepNext w:val="0"/>
        <w:keepLines w:val="0"/>
        <w:widowControl/>
        <w:suppressLineNumbers w:val="0"/>
      </w:pPr>
      <w:r>
        <w:rPr>
          <w:rStyle w:val="23"/>
        </w:rPr>
        <w:t>Privacy- and user-centric design:</w:t>
      </w:r>
      <w:r>
        <w:t xml:space="preserve"> Because instrumentation is on-device and optionally offline, users retain control over their data — mitigating privacy, portability, and accessibility issues often associated with server-dependent analytics or cloud-based question generation.</w:t>
      </w:r>
    </w:p>
    <w:p w14:paraId="5442A69A">
      <w:pPr>
        <w:pStyle w:val="22"/>
        <w:keepNext w:val="0"/>
        <w:keepLines w:val="0"/>
        <w:widowControl/>
        <w:suppressLineNumbers w:val="0"/>
      </w:pPr>
      <w:r>
        <w:rPr>
          <w:rStyle w:val="23"/>
        </w:rPr>
        <w:t>Closed-loop learning cycle:</w:t>
      </w:r>
      <w:r>
        <w:t xml:space="preserve"> By enabling “watch → interact → analyze → quiz → revise,” SmartLearn AI realizes an adaptive, learner-driven framework that combines data-driven insight with active recall — closing the gap between passive video consumption and active learning, which remains largely unaddressed in prior research.</w:t>
      </w:r>
    </w:p>
    <w:p w14:paraId="3CF01189">
      <w:pPr>
        <w:pStyle w:val="22"/>
        <w:keepNext w:val="0"/>
        <w:keepLines w:val="0"/>
        <w:widowControl/>
        <w:suppressLineNumbers w:val="0"/>
      </w:pPr>
      <w:r>
        <w:t>In sum, SmartLearn AI advances the state of the art by bridging the behavioral video-analytics literature and transcript-based automatic assessment, offering a scalable, cross-platform, privacy-conscious tool for personalized learning enhancement.</w:t>
      </w:r>
    </w:p>
    <w:p w14:paraId="0658E0D9">
      <w:pPr>
        <w:pStyle w:val="2"/>
        <w:rPr>
          <w:color w:val="000000" w:themeColor="text1"/>
          <w14:textFill>
            <w14:solidFill>
              <w14:schemeClr w14:val="tx1"/>
            </w14:solidFill>
          </w14:textFill>
        </w:rPr>
      </w:pPr>
      <w:r>
        <w:rPr>
          <w:color w:val="000000" w:themeColor="text1"/>
          <w14:textFill>
            <w14:solidFill>
              <w14:schemeClr w14:val="tx1"/>
            </w14:solidFill>
          </w14:textFill>
        </w:rPr>
        <w:t xml:space="preserve">Methodology/Experimental </w:t>
      </w:r>
    </w:p>
    <w:p w14:paraId="7B4BC640">
      <w:pPr>
        <w:rPr>
          <w:color w:val="000000" w:themeColor="text1"/>
          <w14:textFill>
            <w14:solidFill>
              <w14:schemeClr w14:val="tx1"/>
            </w14:solidFill>
          </w14:textFill>
        </w:rPr>
      </w:pPr>
      <w:bookmarkStart w:id="1" w:name="_GoBack"/>
      <w:r>
        <w:rPr>
          <w:color w:val="000000" w:themeColor="text1"/>
          <w14:textFill>
            <w14:solidFill>
              <w14:schemeClr w14:val="tx1"/>
            </w14:solidFill>
          </w14:textFill>
        </w:rPr>
        <w:t xml:space="preserve">Choose  any one from </w:t>
      </w:r>
      <w:r>
        <w:rPr>
          <w:i/>
          <w:color w:val="000000" w:themeColor="text1"/>
          <w14:textFill>
            <w14:solidFill>
              <w14:schemeClr w14:val="tx1"/>
            </w14:solidFill>
          </w14:textFill>
        </w:rPr>
        <w:t xml:space="preserve">A,B,C  given below as applicable to your Project  </w:t>
      </w:r>
    </w:p>
    <w:p w14:paraId="25016C47">
      <w:pPr>
        <w:pStyle w:val="3"/>
        <w:rPr>
          <w:color w:val="000000" w:themeColor="text1"/>
          <w14:textFill>
            <w14:solidFill>
              <w14:schemeClr w14:val="tx1"/>
            </w14:solidFill>
          </w14:textFill>
        </w:rPr>
      </w:pPr>
      <w:r>
        <w:rPr>
          <w:color w:val="000000" w:themeColor="text1"/>
          <w14:textFill>
            <w14:solidFill>
              <w14:schemeClr w14:val="tx1"/>
            </w14:solidFill>
          </w14:textFill>
        </w:rPr>
        <w:t xml:space="preserve">Materials/Components/Flowchart/Block Diagram/Theory </w:t>
      </w:r>
      <w:bookmarkStart w:id="0" w:name="_Hlk96174283"/>
      <w:r>
        <w:rPr>
          <w:color w:val="000000" w:themeColor="text1"/>
          <w:highlight w:val="yellow"/>
          <w14:textFill>
            <w14:solidFill>
              <w14:schemeClr w14:val="tx1"/>
            </w14:solidFill>
          </w14:textFill>
        </w:rPr>
        <w:t>(* Keep any one of the subtitles here as applicable to your project work)</w:t>
      </w:r>
      <w:r>
        <w:rPr>
          <w:color w:val="000000" w:themeColor="text1"/>
          <w14:textFill>
            <w14:solidFill>
              <w14:schemeClr w14:val="tx1"/>
            </w14:solidFill>
          </w14:textFill>
        </w:rPr>
        <w:t xml:space="preserve">  </w:t>
      </w:r>
      <w:bookmarkEnd w:id="0"/>
    </w:p>
    <w:p w14:paraId="42A3B057">
      <w:pPr>
        <w:jc w:val="both"/>
        <w:rPr>
          <w:color w:val="000000" w:themeColor="text1"/>
          <w14:textFill>
            <w14:solidFill>
              <w14:schemeClr w14:val="tx1"/>
            </w14:solidFill>
          </w14:textFill>
        </w:rPr>
      </w:pPr>
      <w:r>
        <w:rPr>
          <w:color w:val="000000" w:themeColor="text1"/>
          <w14:textFill>
            <w14:solidFill>
              <w14:schemeClr w14:val="tx1"/>
            </w14:solidFill>
          </w14:textFill>
        </w:rPr>
        <w:t>Gljkdgji dfgjidfp pgjpjk ghpojkfhp pfghp piojgh lijghopoj lifjghij lijfghoij lkgjhoidjfgh ldigjolijdgh lkjndghojd lkjghlkjh lkjhjkhg</w:t>
      </w:r>
    </w:p>
    <w:p w14:paraId="1CB0DD90">
      <w:pPr>
        <w:pStyle w:val="3"/>
        <w:rPr>
          <w:color w:val="000000" w:themeColor="text1"/>
          <w14:textFill>
            <w14:solidFill>
              <w14:schemeClr w14:val="tx1"/>
            </w14:solidFill>
          </w14:textFill>
        </w:rPr>
      </w:pPr>
      <w:r>
        <w:rPr>
          <w:color w:val="000000" w:themeColor="text1"/>
          <w14:textFill>
            <w14:solidFill>
              <w14:schemeClr w14:val="tx1"/>
            </w14:solidFill>
          </w14:textFill>
        </w:rPr>
        <w:t xml:space="preserve">Synthesis/Algorithm/Design/Method </w:t>
      </w:r>
      <w:r>
        <w:rPr>
          <w:color w:val="000000" w:themeColor="text1"/>
          <w:highlight w:val="yellow"/>
          <w14:textFill>
            <w14:solidFill>
              <w14:schemeClr w14:val="tx1"/>
            </w14:solidFill>
          </w14:textFill>
        </w:rPr>
        <w:t>(* Keep any one of the subtitles here as applicable to your project work</w:t>
      </w:r>
      <w:r>
        <w:rPr>
          <w:color w:val="000000" w:themeColor="text1"/>
          <w14:textFill>
            <w14:solidFill>
              <w14:schemeClr w14:val="tx1"/>
            </w14:solidFill>
          </w14:textFill>
        </w:rPr>
        <w:t xml:space="preserve">)  </w:t>
      </w:r>
    </w:p>
    <w:p w14:paraId="48309CA0">
      <w:pPr>
        <w:jc w:val="both"/>
        <w:rPr>
          <w:color w:val="000000" w:themeColor="text1"/>
          <w14:textFill>
            <w14:solidFill>
              <w14:schemeClr w14:val="tx1"/>
            </w14:solidFill>
          </w14:textFill>
        </w:rPr>
      </w:pPr>
      <w:r>
        <w:rPr>
          <w:color w:val="000000" w:themeColor="text1"/>
          <w14:textFill>
            <w14:solidFill>
              <w14:schemeClr w14:val="tx1"/>
            </w14:solidFill>
          </w14:textFill>
        </w:rPr>
        <w:t>Gljkdgji dfgjidfp pgjpjk ghpojkfhp pfghp piojgh lijghopoj lifjghij lijfghoij lkgjhoidjfgh ldigjolijdgh lkjndghojd lkjghlkjh lkjhjkhg</w:t>
      </w:r>
    </w:p>
    <w:p w14:paraId="0BF592A0">
      <w:pPr>
        <w:pStyle w:val="3"/>
        <w:rPr>
          <w:color w:val="000000" w:themeColor="text1"/>
          <w:highlight w:val="yellow"/>
          <w14:textFill>
            <w14:solidFill>
              <w14:schemeClr w14:val="tx1"/>
            </w14:solidFill>
          </w14:textFill>
        </w:rPr>
      </w:pPr>
      <w:r>
        <w:rPr>
          <w:color w:val="000000" w:themeColor="text1"/>
          <w14:textFill>
            <w14:solidFill>
              <w14:schemeClr w14:val="tx1"/>
            </w14:solidFill>
          </w14:textFill>
        </w:rPr>
        <w:t xml:space="preserve">Characterization/Pseudo Code/ Testing </w:t>
      </w:r>
      <w:r>
        <w:rPr>
          <w:color w:val="000000" w:themeColor="text1"/>
          <w:highlight w:val="yellow"/>
          <w14:textFill>
            <w14:solidFill>
              <w14:schemeClr w14:val="tx1"/>
            </w14:solidFill>
          </w14:textFill>
        </w:rPr>
        <w:t xml:space="preserve">(* Keep any one of the subtitles here as applicable to your project work)  </w:t>
      </w:r>
    </w:p>
    <w:p w14:paraId="6706B833">
      <w:pPr>
        <w:jc w:val="both"/>
        <w:rPr>
          <w:color w:val="000000" w:themeColor="text1"/>
          <w14:textFill>
            <w14:solidFill>
              <w14:schemeClr w14:val="tx1"/>
            </w14:solidFill>
          </w14:textFill>
        </w:rPr>
      </w:pPr>
      <w:r>
        <w:rPr>
          <w:color w:val="000000" w:themeColor="text1"/>
          <w14:textFill>
            <w14:solidFill>
              <w14:schemeClr w14:val="tx1"/>
            </w14:solidFill>
          </w14:textFill>
        </w:rPr>
        <w:t>Gljkdgji dfgjidfp pgjpjk ghpojkfhp pfghp piojgh lijghopoj lifjghij lijfghoij lkgjhoidjfgh ldigjolijdgh lkjndghojd lkjghlkjh lkjhjkhg</w:t>
      </w:r>
    </w:p>
    <w:p w14:paraId="07D55F96">
      <w:pPr>
        <w:rPr>
          <w:color w:val="000000" w:themeColor="text1"/>
          <w14:textFill>
            <w14:solidFill>
              <w14:schemeClr w14:val="tx1"/>
            </w14:solidFill>
          </w14:textFill>
        </w:rPr>
      </w:pPr>
    </w:p>
    <w:bookmarkEnd w:id="1"/>
    <w:p w14:paraId="1FC0B5EA">
      <w:pPr>
        <w:pStyle w:val="2"/>
        <w:rPr>
          <w:color w:val="000000" w:themeColor="text1"/>
          <w14:textFill>
            <w14:solidFill>
              <w14:schemeClr w14:val="tx1"/>
            </w14:solidFill>
          </w14:textFill>
        </w:rPr>
      </w:pPr>
      <w:r>
        <w:rPr>
          <w:color w:val="000000" w:themeColor="text1"/>
          <w14:textFill>
            <w14:solidFill>
              <w14:schemeClr w14:val="tx1"/>
            </w14:solidFill>
          </w14:textFill>
        </w:rPr>
        <w:t>Results and Discussions</w:t>
      </w:r>
    </w:p>
    <w:p w14:paraId="55F5E460">
      <w:pPr>
        <w:jc w:val="both"/>
        <w:rPr>
          <w:color w:val="000000" w:themeColor="text1"/>
          <w14:textFill>
            <w14:solidFill>
              <w14:schemeClr w14:val="tx1"/>
            </w14:solidFill>
          </w14:textFill>
        </w:rPr>
      </w:pPr>
      <w:r>
        <w:rPr>
          <w:color w:val="000000" w:themeColor="text1"/>
          <w14:textFill>
            <w14:solidFill>
              <w14:schemeClr w14:val="tx1"/>
            </w14:solidFill>
          </w14:textFill>
        </w:rPr>
        <w:t>Initial implementation and testing of SmartLearn AI demonstrate that the system is able to reliably capture detailed video interaction events such as play, pause, rewind, skip, and speed changes across multiple YouTube educational videos using the Chrome Extension API. The generated heatmaps accurately reflect high-confusion segments, with repeated pauses and rewinds clustering around conceptually dense or fast-paced explanations. User testing shows that these heatmap visualizations help learners quickly identify difficult areas that require revision, validating the effectiveness of the confusion-density algorithm. Preliminary integration of the NLP-based quiz generator also produced contextually relevant and concept-focused questions derived from transcript segments corresponding to heatmap peaks. These results collectively indicate that SmartLearn AI can meaningfully enhance learner understanding by transforming raw behavior logs into actionable insights. While the current prototype covers core functionalities, further testing with larger datasets, diverse video categories, and multiple learner profiles will strengthen the reliability and adaptability of the system. Overall, the early results confirm the feasibility and usefulness of combining interaction analytics with AI-driven question generation to support personalized learning.</w:t>
      </w:r>
    </w:p>
    <w:p w14:paraId="55471DD3">
      <w:pPr>
        <w:pStyle w:val="2"/>
        <w:rPr>
          <w:color w:val="000000" w:themeColor="text1"/>
          <w14:textFill>
            <w14:solidFill>
              <w14:schemeClr w14:val="tx1"/>
            </w14:solidFill>
          </w14:textFill>
        </w:rPr>
      </w:pPr>
      <w:r>
        <w:rPr>
          <w:color w:val="000000" w:themeColor="text1"/>
          <w14:textFill>
            <w14:solidFill>
              <w14:schemeClr w14:val="tx1"/>
            </w14:solidFill>
          </w14:textFill>
        </w:rPr>
        <w:t>Procedure for Paper Submission</w:t>
      </w:r>
    </w:p>
    <w:p w14:paraId="24501786">
      <w:pPr>
        <w:pStyle w:val="3"/>
        <w:rPr>
          <w:color w:val="000000" w:themeColor="text1"/>
          <w14:textFill>
            <w14:solidFill>
              <w14:schemeClr w14:val="tx1"/>
            </w14:solidFill>
          </w14:textFill>
        </w:rPr>
      </w:pPr>
      <w:r>
        <w:rPr>
          <w:color w:val="000000" w:themeColor="text1"/>
          <w14:textFill>
            <w14:solidFill>
              <w14:schemeClr w14:val="tx1"/>
            </w14:solidFill>
          </w14:textFill>
        </w:rPr>
        <w:t>Review Stage</w:t>
      </w:r>
    </w:p>
    <w:p w14:paraId="2FA32A6D">
      <w:pPr>
        <w:pStyle w:val="30"/>
        <w:rPr>
          <w:color w:val="000000" w:themeColor="text1"/>
          <w14:textFill>
            <w14:solidFill>
              <w14:schemeClr w14:val="tx1"/>
            </w14:solidFill>
          </w14:textFill>
        </w:rPr>
      </w:pPr>
      <w:r>
        <w:rPr>
          <w:b/>
          <w:bCs/>
          <w:i/>
          <w:iCs/>
          <w:color w:val="000000" w:themeColor="text1"/>
          <w14:textFill>
            <w14:solidFill>
              <w14:schemeClr w14:val="tx1"/>
            </w14:solidFill>
          </w14:textFill>
        </w:rPr>
        <w:t xml:space="preserve">Instructions about final paper and figure submissions in this document are for IEEE journals; please use this document as a “template” to prepare your manuscript. For submission guidelines, follow instructions on paper submission system as well as the Conference website. </w:t>
      </w:r>
      <w:r>
        <w:rPr>
          <w:color w:val="000000" w:themeColor="text1"/>
          <w14:textFill>
            <w14:solidFill>
              <w14:schemeClr w14:val="tx1"/>
            </w14:solidFill>
          </w14:textFill>
        </w:rPr>
        <w:t>.</w:t>
      </w:r>
    </w:p>
    <w:p w14:paraId="219F5AA9">
      <w:pPr>
        <w:pStyle w:val="3"/>
        <w:rPr>
          <w:color w:val="000000" w:themeColor="text1"/>
          <w14:textFill>
            <w14:solidFill>
              <w14:schemeClr w14:val="tx1"/>
            </w14:solidFill>
          </w14:textFill>
        </w:rPr>
      </w:pPr>
      <w:r>
        <w:rPr>
          <w:color w:val="000000" w:themeColor="text1"/>
          <w14:textFill>
            <w14:solidFill>
              <w14:schemeClr w14:val="tx1"/>
            </w14:solidFill>
          </w14:textFill>
        </w:rPr>
        <w:t>Final Stage</w:t>
      </w:r>
    </w:p>
    <w:p w14:paraId="7965CEAC">
      <w:pPr>
        <w:pStyle w:val="30"/>
        <w:rPr>
          <w:color w:val="000000" w:themeColor="text1"/>
          <w14:textFill>
            <w14:solidFill>
              <w14:schemeClr w14:val="tx1"/>
            </w14:solidFill>
          </w14:textFill>
        </w:rPr>
      </w:pPr>
      <w:r>
        <w:rPr>
          <w:b/>
          <w:bCs/>
          <w:i/>
          <w:iCs/>
          <w:color w:val="000000" w:themeColor="text1"/>
          <w14:textFill>
            <w14:solidFill>
              <w14:schemeClr w14:val="tx1"/>
            </w14:solidFill>
          </w14:textFill>
        </w:rPr>
        <w:t xml:space="preserve">Instructions about final paper and figure submissions in this document are for IEEE journals; please use this document as a “template” to prepare your manuscript. For submission guidelines, follow instructions on paper submission system as well as the Conference website. </w:t>
      </w:r>
      <w:r>
        <w:rPr>
          <w:color w:val="000000" w:themeColor="text1"/>
          <w14:textFill>
            <w14:solidFill>
              <w14:schemeClr w14:val="tx1"/>
            </w14:solidFill>
          </w14:textFill>
        </w:rPr>
        <w:t xml:space="preserve">You must also send your final manuscript on a disk, which IEEE will use to prepare your paper for publication. Write the authors’ names on the disk label. If you are using a Macintosh, please save your file on a PC formatted disk, if possible. You may use </w:t>
      </w:r>
      <w:r>
        <w:rPr>
          <w:i/>
          <w:iCs/>
          <w:color w:val="000000" w:themeColor="text1"/>
          <w14:textFill>
            <w14:solidFill>
              <w14:schemeClr w14:val="tx1"/>
            </w14:solidFill>
          </w14:textFill>
        </w:rPr>
        <w:t>Zip</w:t>
      </w:r>
      <w:r>
        <w:rPr>
          <w:color w:val="000000" w:themeColor="text1"/>
          <w14:textFill>
            <w14:solidFill>
              <w14:schemeClr w14:val="tx1"/>
            </w14:solidFill>
          </w14:textFill>
        </w:rPr>
        <w:t xml:space="preserve"> or CD-ROM disks for large files, or compress files using </w:t>
      </w:r>
      <w:r>
        <w:rPr>
          <w:i/>
          <w:iCs/>
          <w:color w:val="000000" w:themeColor="text1"/>
          <w14:textFill>
            <w14:solidFill>
              <w14:schemeClr w14:val="tx1"/>
            </w14:solidFill>
          </w14:textFill>
        </w:rPr>
        <w:t>Compress, Pkzip, Stuffit,</w:t>
      </w:r>
      <w:r>
        <w:rPr>
          <w:color w:val="000000" w:themeColor="text1"/>
          <w14:textFill>
            <w14:solidFill>
              <w14:schemeClr w14:val="tx1"/>
            </w14:solidFill>
          </w14:textFill>
        </w:rPr>
        <w:t xml:space="preserve"> or </w:t>
      </w:r>
      <w:r>
        <w:rPr>
          <w:i/>
          <w:iCs/>
          <w:color w:val="000000" w:themeColor="text1"/>
          <w14:textFill>
            <w14:solidFill>
              <w14:schemeClr w14:val="tx1"/>
            </w14:solidFill>
          </w14:textFill>
        </w:rPr>
        <w:t>Gzip.</w:t>
      </w:r>
      <w:r>
        <w:rPr>
          <w:color w:val="000000" w:themeColor="text1"/>
          <w14:textFill>
            <w14:solidFill>
              <w14:schemeClr w14:val="tx1"/>
            </w14:solidFill>
          </w14:textFill>
        </w:rPr>
        <w:t xml:space="preserve"> </w:t>
      </w:r>
    </w:p>
    <w:p w14:paraId="51B68F0D">
      <w:pPr>
        <w:pStyle w:val="30"/>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align>center</wp:align>
                </wp:positionH>
                <wp:positionV relativeFrom="paragraph">
                  <wp:posOffset>1136015</wp:posOffset>
                </wp:positionV>
                <wp:extent cx="3046730" cy="2750820"/>
                <wp:effectExtent l="1905" t="1905" r="0" b="0"/>
                <wp:wrapSquare wrapText="bothSides"/>
                <wp:docPr id="1" name="Text Box 7"/>
                <wp:cNvGraphicFramePr/>
                <a:graphic xmlns:a="http://schemas.openxmlformats.org/drawingml/2006/main">
                  <a:graphicData uri="http://schemas.microsoft.com/office/word/2010/wordprocessingShape">
                    <wps:wsp>
                      <wps:cNvSpPr txBox="1">
                        <a:spLocks noChangeArrowheads="1"/>
                      </wps:cNvSpPr>
                      <wps:spPr bwMode="auto">
                        <a:xfrm>
                          <a:off x="0" y="0"/>
                          <a:ext cx="3046730" cy="2750820"/>
                        </a:xfrm>
                        <a:prstGeom prst="rect">
                          <a:avLst/>
                        </a:prstGeom>
                        <a:noFill/>
                        <a:ln>
                          <a:noFill/>
                        </a:ln>
                      </wps:spPr>
                      <wps:txbx>
                        <w:txbxContent>
                          <w:p w14:paraId="3A83B1AF">
                            <w:r>
                              <w:drawing>
                                <wp:inline distT="0" distB="0" distL="0" distR="0">
                                  <wp:extent cx="2863850" cy="2171700"/>
                                  <wp:effectExtent l="19050" t="0" r="0" b="0"/>
                                  <wp:docPr id="3" name="Picture 3"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fig600"/>
                                          <pic:cNvPicPr>
                                            <a:picLocks noChangeAspect="1" noChangeArrowheads="1"/>
                                          </pic:cNvPicPr>
                                        </pic:nvPicPr>
                                        <pic:blipFill>
                                          <a:blip r:embed="rId6"/>
                                          <a:srcRect/>
                                          <a:stretch>
                                            <a:fillRect/>
                                          </a:stretch>
                                        </pic:blipFill>
                                        <pic:spPr>
                                          <a:xfrm>
                                            <a:off x="0" y="0"/>
                                            <a:ext cx="2863850" cy="2171700"/>
                                          </a:xfrm>
                                          <a:prstGeom prst="rect">
                                            <a:avLst/>
                                          </a:prstGeom>
                                          <a:noFill/>
                                          <a:ln w="9525">
                                            <a:noFill/>
                                            <a:miter lim="800000"/>
                                            <a:headEnd/>
                                            <a:tailEnd/>
                                          </a:ln>
                                        </pic:spPr>
                                      </pic:pic>
                                    </a:graphicData>
                                  </a:graphic>
                                </wp:inline>
                              </w:drawing>
                            </w:r>
                          </w:p>
                          <w:p w14:paraId="69446AFA">
                            <w:pPr>
                              <w:pStyle w:val="31"/>
                            </w:pPr>
                            <w:r>
                              <w:t xml:space="preserve">Fig. 1.  Magnetization as a function of applied field. Note that “Fig.” is abbreviated.  Bvb.nbnblvmnnm </w:t>
                            </w:r>
                            <w:r>
                              <w:rPr>
                                <w:color w:val="FF0000"/>
                              </w:rPr>
                              <w:t>There is a period after the figure number, followed by two spaces. It is good practice to explain the significance of the figure in the caption.</w:t>
                            </w:r>
                          </w:p>
                          <w:p w14:paraId="00C8E1F3"/>
                        </w:txbxContent>
                      </wps:txbx>
                      <wps:bodyPr rot="0" vert="horz" wrap="square" lIns="91440" tIns="45720" rIns="91440" bIns="45720" anchor="t" anchorCtr="0" upright="1">
                        <a:noAutofit/>
                      </wps:bodyPr>
                    </wps:wsp>
                  </a:graphicData>
                </a:graphic>
              </wp:anchor>
            </w:drawing>
          </mc:Choice>
          <mc:Fallback>
            <w:pict>
              <v:shape id="Text Box 7" o:spid="_x0000_s1026" o:spt="202" type="#_x0000_t202" style="position:absolute;left:0pt;margin-top:89.45pt;height:216.6pt;width:239.9pt;mso-position-horizontal:center;mso-wrap-distance-bottom:0pt;mso-wrap-distance-left:9pt;mso-wrap-distance-right:9pt;mso-wrap-distance-top:0pt;z-index:251659264;mso-width-relative:page;mso-height-relative:page;" filled="f" stroked="f" coordsize="21600,21600" o:gfxdata="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&#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FLtFPLWAAAACAEAAA8AAAAAAAAAAQAgAAAAIgAAAGRy&#10;cy9kb3ducmV2LnhtbFBLAQIUABQAAAAIAIdO4kDe47gcBwIAABUEAAAOAAAAAAAAAAEAIAAAACUB&#10;AABkcnMvZTJvRG9jLnhtbFBLBQYAAAAABgAGAFkBAACeBQAAAAA=&#10;">
                <v:fill on="f" focussize="0,0"/>
                <v:stroke on="f"/>
                <v:imagedata o:title=""/>
                <o:lock v:ext="edit" aspectratio="f"/>
                <v:textbox>
                  <w:txbxContent>
                    <w:p w14:paraId="3A83B1AF">
                      <w:r>
                        <w:drawing>
                          <wp:inline distT="0" distB="0" distL="0" distR="0">
                            <wp:extent cx="2863850" cy="2171700"/>
                            <wp:effectExtent l="19050" t="0" r="0" b="0"/>
                            <wp:docPr id="3" name="Picture 3"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fig600"/>
                                    <pic:cNvPicPr>
                                      <a:picLocks noChangeAspect="1" noChangeArrowheads="1"/>
                                    </pic:cNvPicPr>
                                  </pic:nvPicPr>
                                  <pic:blipFill>
                                    <a:blip r:embed="rId6"/>
                                    <a:srcRect/>
                                    <a:stretch>
                                      <a:fillRect/>
                                    </a:stretch>
                                  </pic:blipFill>
                                  <pic:spPr>
                                    <a:xfrm>
                                      <a:off x="0" y="0"/>
                                      <a:ext cx="2863850" cy="2171700"/>
                                    </a:xfrm>
                                    <a:prstGeom prst="rect">
                                      <a:avLst/>
                                    </a:prstGeom>
                                    <a:noFill/>
                                    <a:ln w="9525">
                                      <a:noFill/>
                                      <a:miter lim="800000"/>
                                      <a:headEnd/>
                                      <a:tailEnd/>
                                    </a:ln>
                                  </pic:spPr>
                                </pic:pic>
                              </a:graphicData>
                            </a:graphic>
                          </wp:inline>
                        </w:drawing>
                      </w:r>
                    </w:p>
                    <w:p w14:paraId="69446AFA">
                      <w:pPr>
                        <w:pStyle w:val="31"/>
                      </w:pPr>
                      <w:r>
                        <w:t xml:space="preserve">Fig. 1.  Magnetization as a function of applied field. Note that “Fig.” is abbreviated.  Bvb.nbnblvmnnm </w:t>
                      </w:r>
                      <w:r>
                        <w:rPr>
                          <w:color w:val="FF0000"/>
                        </w:rPr>
                        <w:t>There is a period after the figure number, followed by two spaces. It is good practice to explain the significance of the figure in the caption.</w:t>
                      </w:r>
                    </w:p>
                    <w:p w14:paraId="00C8E1F3"/>
                  </w:txbxContent>
                </v:textbox>
                <w10:wrap type="square"/>
              </v:shape>
            </w:pict>
          </mc:Fallback>
        </mc:AlternateContent>
      </w:r>
      <w:r>
        <w:rPr>
          <w:color w:val="000000" w:themeColor="text1"/>
          <w14:textFill>
            <w14:solidFill>
              <w14:schemeClr w14:val="tx1"/>
            </w14:solidFill>
          </w14:textFill>
        </w:rPr>
        <w:t>so send a sheet of paper with complete contact information for all authors. Include full mailing addresses, telephone numbers, fax numbers, and e-mail addresses. This information will be used to send each author a complimentary copy of the journal in which the paper appears. In addition, designate one author as the “corresponding author.” This is the author to whom proofs of the paper will be sent. Proofs are sent to the corresponding author only.</w:t>
      </w:r>
    </w:p>
    <w:p w14:paraId="639AB538">
      <w:pPr>
        <w:pStyle w:val="3"/>
        <w:rPr>
          <w:color w:val="000000" w:themeColor="text1"/>
          <w14:textFill>
            <w14:solidFill>
              <w14:schemeClr w14:val="tx1"/>
            </w14:solidFill>
          </w14:textFill>
        </w:rPr>
      </w:pPr>
      <w:r>
        <w:rPr>
          <w:color w:val="000000" w:themeColor="text1"/>
          <w14:textFill>
            <w14:solidFill>
              <w14:schemeClr w14:val="tx1"/>
            </w14:solidFill>
          </w14:textFill>
        </w:rPr>
        <w:t>Figures</w:t>
      </w:r>
    </w:p>
    <w:p w14:paraId="41271AD5">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All tables and figures will be processed as images. </w:t>
      </w:r>
      <w:r>
        <w:rPr>
          <w:b/>
          <w:bCs/>
          <w:color w:val="000000" w:themeColor="text1"/>
          <w14:textFill>
            <w14:solidFill>
              <w14:schemeClr w14:val="tx1"/>
            </w14:solidFill>
          </w14:textFill>
        </w:rPr>
        <w:t>However, IEEE cannot extract the tables and figures embedded in your document.</w:t>
      </w:r>
      <w:r>
        <w:rPr>
          <w:color w:val="000000" w:themeColor="text1"/>
          <w14:textFill>
            <w14:solidFill>
              <w14:schemeClr w14:val="tx1"/>
            </w14:solidFill>
          </w14:textFill>
        </w:rPr>
        <w:t xml:space="preserve"> (The figures and tables you insert in your document are only to help you gauge the size of your paper, for the convenience of the referees, and to make it easy for you to distribute preprints.) Therefore, </w:t>
      </w:r>
      <w:r>
        <w:rPr>
          <w:b/>
          <w:bCs/>
          <w:color w:val="000000" w:themeColor="text1"/>
          <w14:textFill>
            <w14:solidFill>
              <w14:schemeClr w14:val="tx1"/>
            </w14:solidFill>
          </w14:textFill>
        </w:rPr>
        <w:t>submit, on separate sheets of paper, enlarged versions of the tables and figures that appear in your document.</w:t>
      </w:r>
      <w:r>
        <w:rPr>
          <w:color w:val="000000" w:themeColor="text1"/>
          <w14:textFill>
            <w14:solidFill>
              <w14:schemeClr w14:val="tx1"/>
            </w14:solidFill>
          </w14:textFill>
        </w:rPr>
        <w:t xml:space="preserve"> These are the images IEEE will scan and publish with your paper. </w:t>
      </w:r>
    </w:p>
    <w:p w14:paraId="143D3007">
      <w:pPr>
        <w:pStyle w:val="30"/>
        <w:rPr>
          <w:color w:val="000000" w:themeColor="text1"/>
          <w14:textFill>
            <w14:solidFill>
              <w14:schemeClr w14:val="tx1"/>
            </w14:solidFill>
          </w14:textFill>
        </w:rPr>
      </w:pPr>
    </w:p>
    <w:p w14:paraId="0A683D6F">
      <w:pPr>
        <w:pStyle w:val="3"/>
        <w:rPr>
          <w:color w:val="000000" w:themeColor="text1"/>
          <w14:textFill>
            <w14:solidFill>
              <w14:schemeClr w14:val="tx1"/>
            </w14:solidFill>
          </w14:textFill>
        </w:rPr>
      </w:pPr>
      <w:r>
        <w:rPr>
          <w:color w:val="000000" w:themeColor="text1"/>
          <w14:textFill>
            <w14:solidFill>
              <w14:schemeClr w14:val="tx1"/>
            </w14:solidFill>
          </w14:textFill>
        </w:rPr>
        <w:t>Electronic Image Files (Optional)</w:t>
      </w:r>
    </w:p>
    <w:p w14:paraId="5C098A56">
      <w:pPr>
        <w:pStyle w:val="30"/>
        <w:rPr>
          <w:color w:val="000000" w:themeColor="text1"/>
          <w14:textFill>
            <w14:solidFill>
              <w14:schemeClr w14:val="tx1"/>
            </w14:solidFill>
          </w14:textFill>
        </w:rPr>
      </w:pPr>
      <w:r>
        <w:rPr>
          <w:color w:val="000000" w:themeColor="text1"/>
          <w14:textFill>
            <w14:solidFill>
              <w14:schemeClr w14:val="tx1"/>
            </w14:solidFill>
          </w14:textFill>
        </w:rPr>
        <w:t>You will have the greatest control over the appearance of your figures if you are able to prepare electronic image files. If you do not have the required computer skills, just submit paper prints as described above and skip this section.</w:t>
      </w:r>
    </w:p>
    <w:p w14:paraId="750CFC3A">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For more information on TIFF files, please go to </w:t>
      </w:r>
      <w:r>
        <w:fldChar w:fldCharType="begin"/>
      </w:r>
      <w:r>
        <w:instrText xml:space="preserve"> HYPERLINK "http://www.ieee.org/organizations/pubs/transactions/information.htm" </w:instrText>
      </w:r>
      <w:r>
        <w:fldChar w:fldCharType="separate"/>
      </w:r>
      <w:r>
        <w:rPr>
          <w:rStyle w:val="21"/>
          <w:color w:val="000000" w:themeColor="text1"/>
          <w14:textFill>
            <w14:solidFill>
              <w14:schemeClr w14:val="tx1"/>
            </w14:solidFill>
          </w14:textFill>
        </w:rPr>
        <w:t>http://www.ieee.org/organizations/pubs/transactions/information.htm</w:t>
      </w:r>
      <w:r>
        <w:rPr>
          <w:rStyle w:val="21"/>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and click on the link “Guidelines for Author Supplied Electronic Text and Graphics.”</w:t>
      </w:r>
    </w:p>
    <w:p w14:paraId="0E3527FF">
      <w:pPr>
        <w:pStyle w:val="30"/>
        <w:rPr>
          <w:color w:val="000000" w:themeColor="text1"/>
          <w14:textFill>
            <w14:solidFill>
              <w14:schemeClr w14:val="tx1"/>
            </w14:solidFill>
          </w14:textFill>
        </w:rPr>
      </w:pPr>
      <w:r>
        <w:rPr>
          <w:i/>
          <w:iCs/>
          <w:color w:val="000000" w:themeColor="text1"/>
          <w14:textFill>
            <w14:solidFill>
              <w14:schemeClr w14:val="tx1"/>
            </w14:solidFill>
          </w14:textFill>
        </w:rPr>
        <w:t>3) Somewhat Harder Way:</w:t>
      </w:r>
      <w:r>
        <w:rPr>
          <w:color w:val="000000" w:themeColor="text1"/>
          <w14:textFill>
            <w14:solidFill>
              <w14:schemeClr w14:val="tx1"/>
            </w14:solidFill>
          </w14:textFill>
        </w:rPr>
        <w:t xml:space="preserve"> If you do not have a scanner, you may create non-color PostScript figures by “printing” them to files. First, download a PostScript printer driver from </w:t>
      </w:r>
      <w:r>
        <w:fldChar w:fldCharType="begin"/>
      </w:r>
      <w:r>
        <w:instrText xml:space="preserve"> HYPERLINK "http://www.adobe.com/support/downloads/pdrvwin.htm" </w:instrText>
      </w:r>
      <w:r>
        <w:fldChar w:fldCharType="separate"/>
      </w:r>
      <w:r>
        <w:rPr>
          <w:rStyle w:val="21"/>
          <w:color w:val="000000" w:themeColor="text1"/>
          <w14:textFill>
            <w14:solidFill>
              <w14:schemeClr w14:val="tx1"/>
            </w14:solidFill>
          </w14:textFill>
        </w:rPr>
        <w:t>http://www.adobe.com/support/downloads/pdrvwin.htm</w:t>
      </w:r>
      <w:r>
        <w:rPr>
          <w:rStyle w:val="21"/>
          <w:color w:val="000000" w:themeColor="text1"/>
          <w14:textFill>
            <w14:solidFill>
              <w14:schemeClr w14:val="tx1"/>
            </w14:solidFill>
          </w14:textFill>
        </w:rPr>
        <w:fldChar w:fldCharType="end"/>
      </w:r>
    </w:p>
    <w:p w14:paraId="284C1CE8">
      <w:pPr>
        <w:pStyle w:val="30"/>
        <w:ind w:firstLine="0"/>
        <w:jc w:val="left"/>
        <w:rPr>
          <w:color w:val="000000" w:themeColor="text1"/>
          <w14:textFill>
            <w14:solidFill>
              <w14:schemeClr w14:val="tx1"/>
            </w14:solidFill>
          </w14:textFill>
        </w:rPr>
      </w:pPr>
      <w:r>
        <w:rPr>
          <w:color w:val="000000" w:themeColor="text1"/>
          <w14:textFill>
            <w14:solidFill>
              <w14:schemeClr w14:val="tx1"/>
            </w14:solidFill>
          </w14:textFill>
        </w:rPr>
        <w:t>(for Windows) or from</w:t>
      </w:r>
    </w:p>
    <w:p w14:paraId="0AFDBDC3">
      <w:pPr>
        <w:pStyle w:val="30"/>
        <w:ind w:firstLine="0"/>
        <w:rPr>
          <w:color w:val="000000" w:themeColor="text1"/>
          <w14:textFill>
            <w14:solidFill>
              <w14:schemeClr w14:val="tx1"/>
            </w14:solidFill>
          </w14:textFill>
        </w:rPr>
      </w:pPr>
      <w:r>
        <w:fldChar w:fldCharType="begin"/>
      </w:r>
      <w:r>
        <w:instrText xml:space="preserve"> HYPERLINK "http://www.adobe.com/support/downloads/" </w:instrText>
      </w:r>
      <w:r>
        <w:fldChar w:fldCharType="separate"/>
      </w:r>
      <w:r>
        <w:rPr>
          <w:rStyle w:val="21"/>
          <w:color w:val="000000" w:themeColor="text1"/>
          <w14:textFill>
            <w14:solidFill>
              <w14:schemeClr w14:val="tx1"/>
            </w14:solidFill>
          </w14:textFill>
        </w:rPr>
        <w:t>http://www.adobe.com/support/downloads/pdrvmac.htm</w:t>
      </w:r>
      <w:r>
        <w:rPr>
          <w:rStyle w:val="21"/>
          <w:color w:val="000000" w:themeColor="text1"/>
          <w14:textFill>
            <w14:solidFill>
              <w14:schemeClr w14:val="tx1"/>
            </w14:solidFill>
          </w14:textFill>
        </w:rPr>
        <w:fldChar w:fldCharType="end"/>
      </w:r>
    </w:p>
    <w:p w14:paraId="43658E46">
      <w:pPr>
        <w:pStyle w:val="30"/>
        <w:ind w:firstLine="0"/>
        <w:rPr>
          <w:color w:val="000000" w:themeColor="text1"/>
          <w14:textFill>
            <w14:solidFill>
              <w14:schemeClr w14:val="tx1"/>
            </w14:solidFill>
          </w14:textFill>
        </w:rPr>
      </w:pPr>
      <w:r>
        <w:rPr>
          <w:color w:val="000000" w:themeColor="text1"/>
          <w14:textFill>
            <w14:solidFill>
              <w14:schemeClr w14:val="tx1"/>
            </w14:solidFill>
          </w14:textFill>
        </w:rPr>
        <w:t xml:space="preserve">(for Macintosh) and install the “Generic PostScript Printer” definition. In </w:t>
      </w:r>
      <w:r>
        <w:rPr>
          <w:i/>
          <w:iCs/>
          <w:color w:val="000000" w:themeColor="text1"/>
          <w14:textFill>
            <w14:solidFill>
              <w14:schemeClr w14:val="tx1"/>
            </w14:solidFill>
          </w14:textFill>
        </w:rPr>
        <w:t>Word,</w:t>
      </w:r>
      <w:r>
        <w:rPr>
          <w:color w:val="000000" w:themeColor="text1"/>
          <w14:textFill>
            <w14:solidFill>
              <w14:schemeClr w14:val="tx1"/>
            </w14:solidFill>
          </w14:textFill>
        </w:rPr>
        <w:t xml:space="preserve"> paste your figure into a new document. Print to a file using the PostScript printer driver. File names should be of the form “fig5.ps.” Use Adobe Type 1 fonts when creating your figures, if possible. </w:t>
      </w:r>
    </w:p>
    <w:p w14:paraId="2A0FE242">
      <w:pPr>
        <w:pStyle w:val="30"/>
        <w:rPr>
          <w:color w:val="000000" w:themeColor="text1"/>
          <w14:textFill>
            <w14:solidFill>
              <w14:schemeClr w14:val="tx1"/>
            </w14:solidFill>
          </w14:textFill>
        </w:rPr>
      </w:pPr>
      <w:r>
        <w:rPr>
          <w:i/>
          <w:iCs/>
          <w:color w:val="000000" w:themeColor="text1"/>
          <w14:textFill>
            <w14:solidFill>
              <w14:schemeClr w14:val="tx1"/>
            </w14:solidFill>
          </w14:textFill>
        </w:rPr>
        <w:t>4) Other Ways:</w:t>
      </w:r>
      <w:r>
        <w:rPr>
          <w:color w:val="000000" w:themeColor="text1"/>
          <w14:textFill>
            <w14:solidFill>
              <w14:schemeClr w14:val="tx1"/>
            </w14:solidFill>
          </w14:textFill>
        </w:rPr>
        <w:t xml:space="preserve"> Experienced computer users can convert figures and tables from their original format to TIFF. Some useful image converters are Adobe </w:t>
      </w:r>
      <w:r>
        <w:rPr>
          <w:i/>
          <w:iCs/>
          <w:color w:val="000000" w:themeColor="text1"/>
          <w14:textFill>
            <w14:solidFill>
              <w14:schemeClr w14:val="tx1"/>
            </w14:solidFill>
          </w14:textFill>
        </w:rPr>
        <w:t>Photoshop,</w:t>
      </w:r>
      <w:r>
        <w:rPr>
          <w:color w:val="000000" w:themeColor="text1"/>
          <w14:textFill>
            <w14:solidFill>
              <w14:schemeClr w14:val="tx1"/>
            </w14:solidFill>
          </w14:textFill>
        </w:rPr>
        <w:t xml:space="preserve"> Corel </w:t>
      </w:r>
      <w:r>
        <w:rPr>
          <w:i/>
          <w:iCs/>
          <w:color w:val="000000" w:themeColor="text1"/>
          <w14:textFill>
            <w14:solidFill>
              <w14:schemeClr w14:val="tx1"/>
            </w14:solidFill>
          </w14:textFill>
        </w:rPr>
        <w:t>Draw,</w:t>
      </w:r>
      <w:r>
        <w:rPr>
          <w:color w:val="000000" w:themeColor="text1"/>
          <w14:textFill>
            <w14:solidFill>
              <w14:schemeClr w14:val="tx1"/>
            </w14:solidFill>
          </w14:textFill>
        </w:rPr>
        <w:t xml:space="preserve"> and Microsoft </w:t>
      </w:r>
      <w:r>
        <w:rPr>
          <w:i/>
          <w:iCs/>
          <w:color w:val="000000" w:themeColor="text1"/>
          <w14:textFill>
            <w14:solidFill>
              <w14:schemeClr w14:val="tx1"/>
            </w14:solidFill>
          </w14:textFill>
        </w:rPr>
        <w:t>Photo Editor,</w:t>
      </w:r>
      <w:r>
        <w:rPr>
          <w:color w:val="000000" w:themeColor="text1"/>
          <w14:textFill>
            <w14:solidFill>
              <w14:schemeClr w14:val="tx1"/>
            </w14:solidFill>
          </w14:textFill>
        </w:rPr>
        <w:t xml:space="preserve"> an application that is part of Microsoft </w:t>
      </w:r>
      <w:r>
        <w:rPr>
          <w:i/>
          <w:iCs/>
          <w:color w:val="000000" w:themeColor="text1"/>
          <w14:textFill>
            <w14:solidFill>
              <w14:schemeClr w14:val="tx1"/>
            </w14:solidFill>
          </w14:textFill>
        </w:rPr>
        <w:t>Office 97</w:t>
      </w:r>
      <w:r>
        <w:rPr>
          <w:color w:val="000000" w:themeColor="text1"/>
          <w14:textFill>
            <w14:solidFill>
              <w14:schemeClr w14:val="tx1"/>
            </w14:solidFill>
          </w14:textFill>
        </w:rPr>
        <w:t xml:space="preserve"> and </w:t>
      </w:r>
      <w:r>
        <w:rPr>
          <w:i/>
          <w:iCs/>
          <w:color w:val="000000" w:themeColor="text1"/>
          <w14:textFill>
            <w14:solidFill>
              <w14:schemeClr w14:val="tx1"/>
            </w14:solidFill>
          </w14:textFill>
        </w:rPr>
        <w:t>Office 2000</w:t>
      </w:r>
      <w:r>
        <w:rPr>
          <w:color w:val="000000" w:themeColor="text1"/>
          <w14:textFill>
            <w14:solidFill>
              <w14:schemeClr w14:val="tx1"/>
            </w14:solidFill>
          </w14:textFill>
        </w:rPr>
        <w:t xml:space="preserve"> (look for C:\Program Files\Common Files \Microsoft Shared\ PhotoEd\ PHOTOED.EXE. (You may have to custom-install </w:t>
      </w:r>
      <w:r>
        <w:rPr>
          <w:i/>
          <w:iCs/>
          <w:color w:val="000000" w:themeColor="text1"/>
          <w14:textFill>
            <w14:solidFill>
              <w14:schemeClr w14:val="tx1"/>
            </w14:solidFill>
          </w14:textFill>
        </w:rPr>
        <w:t>Photo Editor</w:t>
      </w:r>
      <w:r>
        <w:rPr>
          <w:color w:val="000000" w:themeColor="text1"/>
          <w14:textFill>
            <w14:solidFill>
              <w14:schemeClr w14:val="tx1"/>
            </w14:solidFill>
          </w14:textFill>
        </w:rPr>
        <w:t xml:space="preserve"> from your original </w:t>
      </w:r>
      <w:r>
        <w:rPr>
          <w:i/>
          <w:iCs/>
          <w:color w:val="000000" w:themeColor="text1"/>
          <w14:textFill>
            <w14:solidFill>
              <w14:schemeClr w14:val="tx1"/>
            </w14:solidFill>
          </w14:textFill>
        </w:rPr>
        <w:t>Office</w:t>
      </w:r>
      <w:r>
        <w:rPr>
          <w:color w:val="000000" w:themeColor="text1"/>
          <w14:textFill>
            <w14:solidFill>
              <w14:schemeClr w14:val="tx1"/>
            </w14:solidFill>
          </w14:textFill>
        </w:rPr>
        <w:t xml:space="preserve"> disk.)</w:t>
      </w:r>
    </w:p>
    <w:p w14:paraId="3E67B4C0">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A way to convert a figure from Windows Metafile (WMF) to TIFF is to paste it into Microsoft </w:t>
      </w:r>
      <w:r>
        <w:rPr>
          <w:i/>
          <w:iCs/>
          <w:color w:val="000000" w:themeColor="text1"/>
          <w14:textFill>
            <w14:solidFill>
              <w14:schemeClr w14:val="tx1"/>
            </w14:solidFill>
          </w14:textFill>
        </w:rPr>
        <w:t>PowerPoint,</w:t>
      </w:r>
      <w:r>
        <w:rPr>
          <w:color w:val="000000" w:themeColor="text1"/>
          <w14:textFill>
            <w14:solidFill>
              <w14:schemeClr w14:val="tx1"/>
            </w14:solidFill>
          </w14:textFill>
        </w:rPr>
        <w:t xml:space="preserve"> save it in JPG format, open it with Microsoft </w:t>
      </w:r>
      <w:r>
        <w:rPr>
          <w:i/>
          <w:iCs/>
          <w:color w:val="000000" w:themeColor="text1"/>
          <w14:textFill>
            <w14:solidFill>
              <w14:schemeClr w14:val="tx1"/>
            </w14:solidFill>
          </w14:textFill>
        </w:rPr>
        <w:t>Photo Editor</w:t>
      </w:r>
      <w:r>
        <w:rPr>
          <w:color w:val="000000" w:themeColor="text1"/>
          <w14:textFill>
            <w14:solidFill>
              <w14:schemeClr w14:val="tx1"/>
            </w14:solidFill>
          </w14:textFill>
        </w:rPr>
        <w:t xml:space="preserve"> or similar converter, and re-save it as TIFF.</w:t>
      </w:r>
    </w:p>
    <w:p w14:paraId="2B8DFB20">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Microsoft </w:t>
      </w:r>
      <w:r>
        <w:rPr>
          <w:i/>
          <w:iCs/>
          <w:color w:val="000000" w:themeColor="text1"/>
          <w14:textFill>
            <w14:solidFill>
              <w14:schemeClr w14:val="tx1"/>
            </w14:solidFill>
          </w14:textFill>
        </w:rPr>
        <w:t>Excel</w:t>
      </w:r>
      <w:r>
        <w:rPr>
          <w:color w:val="000000" w:themeColor="text1"/>
          <w14:textFill>
            <w14:solidFill>
              <w14:schemeClr w14:val="tx1"/>
            </w14:solidFill>
          </w14:textFill>
        </w:rPr>
        <w:t xml:space="preserve"> allows you to save spreadsheet charts in Graphics Interchange Format (GIF). To get good resolution, make the </w:t>
      </w:r>
      <w:r>
        <w:rPr>
          <w:i/>
          <w:iCs/>
          <w:color w:val="000000" w:themeColor="text1"/>
          <w14:textFill>
            <w14:solidFill>
              <w14:schemeClr w14:val="tx1"/>
            </w14:solidFill>
          </w14:textFill>
        </w:rPr>
        <w:t>Excel</w:t>
      </w:r>
      <w:r>
        <w:rPr>
          <w:color w:val="000000" w:themeColor="text1"/>
          <w14:textFill>
            <w14:solidFill>
              <w14:schemeClr w14:val="tx1"/>
            </w14:solidFill>
          </w14:textFill>
        </w:rPr>
        <w:t xml:space="preserve"> charts </w:t>
      </w:r>
      <w:r>
        <w:rPr>
          <w:i/>
          <w:iCs/>
          <w:color w:val="000000" w:themeColor="text1"/>
          <w14:textFill>
            <w14:solidFill>
              <w14:schemeClr w14:val="tx1"/>
            </w14:solidFill>
          </w14:textFill>
        </w:rPr>
        <w:t>very</w:t>
      </w:r>
      <w:r>
        <w:rPr>
          <w:color w:val="000000" w:themeColor="text1"/>
          <w14:textFill>
            <w14:solidFill>
              <w14:schemeClr w14:val="tx1"/>
            </w14:solidFill>
          </w14:textFill>
        </w:rPr>
        <w:t xml:space="preserve"> large. Then use the “Save as </w:t>
      </w:r>
    </w:p>
    <w:p w14:paraId="00E7B825">
      <w:pPr>
        <w:pStyle w:val="3"/>
        <w:rPr>
          <w:color w:val="000000" w:themeColor="text1"/>
          <w14:textFill>
            <w14:solidFill>
              <w14:schemeClr w14:val="tx1"/>
            </w14:solidFill>
          </w14:textFill>
        </w:rPr>
      </w:pPr>
      <w:r>
        <w:rPr>
          <w:color w:val="000000" w:themeColor="text1"/>
          <w14:textFill>
            <w14:solidFill>
              <w14:schemeClr w14:val="tx1"/>
            </w14:solidFill>
          </w14:textFill>
        </w:rPr>
        <w:t>Copyright Form (optional)</w:t>
      </w:r>
    </w:p>
    <w:p w14:paraId="54901BC9">
      <w:pPr>
        <w:pStyle w:val="30"/>
        <w:rPr>
          <w:color w:val="000000" w:themeColor="text1"/>
          <w14:textFill>
            <w14:solidFill>
              <w14:schemeClr w14:val="tx1"/>
            </w14:solidFill>
          </w14:textFill>
        </w:rPr>
      </w:pPr>
      <w:r>
        <w:rPr>
          <w:color w:val="000000" w:themeColor="text1"/>
          <w14:textFill>
            <w14:solidFill>
              <w14:schemeClr w14:val="tx1"/>
            </w14:solidFill>
          </w14:textFill>
        </w:rPr>
        <w:t>An IEEE copyright form should accompany your final submission. These will be custom generated for you at the submission time. Authors are responsible for obtaining any security clearances.</w:t>
      </w:r>
    </w:p>
    <w:p w14:paraId="3786DEA4">
      <w:pPr>
        <w:pStyle w:val="2"/>
        <w:rPr>
          <w:color w:val="000000" w:themeColor="text1"/>
          <w:sz w:val="16"/>
          <w:szCs w:val="16"/>
          <w14:textFill>
            <w14:solidFill>
              <w14:schemeClr w14:val="tx1"/>
            </w14:solidFill>
          </w14:textFill>
        </w:rPr>
      </w:pPr>
      <w:r>
        <w:rPr>
          <w:color w:val="000000" w:themeColor="text1"/>
          <w14:textFill>
            <w14:solidFill>
              <w14:schemeClr w14:val="tx1"/>
            </w14:solidFill>
          </w14:textFill>
        </w:rPr>
        <w:t>M</w:t>
      </w:r>
      <w:r>
        <w:rPr>
          <w:color w:val="000000" w:themeColor="text1"/>
          <w:sz w:val="16"/>
          <w:szCs w:val="16"/>
          <w14:textFill>
            <w14:solidFill>
              <w14:schemeClr w14:val="tx1"/>
            </w14:solidFill>
          </w14:textFill>
        </w:rPr>
        <w:t>ATH</w:t>
      </w:r>
    </w:p>
    <w:p w14:paraId="69A53DA9">
      <w:pPr>
        <w:rPr>
          <w:color w:val="000000" w:themeColor="text1"/>
          <w14:textFill>
            <w14:solidFill>
              <w14:schemeClr w14:val="tx1"/>
            </w14:solidFill>
          </w14:textFill>
        </w:rPr>
      </w:pPr>
    </w:p>
    <w:p w14:paraId="1B7B5304">
      <w:pPr>
        <w:rPr>
          <w:color w:val="000000" w:themeColor="text1"/>
          <w14:textFill>
            <w14:solidFill>
              <w14:schemeClr w14:val="tx1"/>
            </w14:solidFill>
          </w14:textFill>
        </w:rPr>
      </w:pPr>
    </w:p>
    <w:p w14:paraId="4C17F8BE">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If you are using </w:t>
      </w:r>
      <w:r>
        <w:rPr>
          <w:i/>
          <w:iCs/>
          <w:color w:val="000000" w:themeColor="text1"/>
          <w14:textFill>
            <w14:solidFill>
              <w14:schemeClr w14:val="tx1"/>
            </w14:solidFill>
          </w14:textFill>
        </w:rPr>
        <w:t>Word,</w:t>
      </w:r>
      <w:r>
        <w:rPr>
          <w:color w:val="000000" w:themeColor="text1"/>
          <w14:textFill>
            <w14:solidFill>
              <w14:schemeClr w14:val="tx1"/>
            </w14:solidFill>
          </w14:textFill>
        </w:rPr>
        <w:t xml:space="preserve"> use either the Microsoft Equation Editor or the </w:t>
      </w:r>
      <w:r>
        <w:rPr>
          <w:i/>
          <w:iCs/>
          <w:color w:val="000000" w:themeColor="text1"/>
          <w14:textFill>
            <w14:solidFill>
              <w14:schemeClr w14:val="tx1"/>
            </w14:solidFill>
          </w14:textFill>
        </w:rPr>
        <w:t>MathType</w:t>
      </w:r>
      <w:r>
        <w:rPr>
          <w:color w:val="000000" w:themeColor="text1"/>
          <w14:textFill>
            <w14:solidFill>
              <w14:schemeClr w14:val="tx1"/>
            </w14:solidFill>
          </w14:textFill>
        </w:rPr>
        <w:t xml:space="preserve"> add-on (http://www.mathtype.com) for equations in your paper (Insert | Object | Create New | Microsoft Equation </w:t>
      </w:r>
      <w:r>
        <w:rPr>
          <w:i/>
          <w:iCs/>
          <w:color w:val="000000" w:themeColor="text1"/>
          <w14:textFill>
            <w14:solidFill>
              <w14:schemeClr w14:val="tx1"/>
            </w14:solidFill>
          </w14:textFill>
        </w:rPr>
        <w:t>or</w:t>
      </w:r>
      <w:r>
        <w:rPr>
          <w:color w:val="000000" w:themeColor="text1"/>
          <w14:textFill>
            <w14:solidFill>
              <w14:schemeClr w14:val="tx1"/>
            </w14:solidFill>
          </w14:textFill>
        </w:rPr>
        <w:t xml:space="preserve"> Math Type Equation). “Float over text” should </w:t>
      </w:r>
      <w:r>
        <w:rPr>
          <w:i/>
          <w:iCs/>
          <w:color w:val="000000" w:themeColor="text1"/>
          <w14:textFill>
            <w14:solidFill>
              <w14:schemeClr w14:val="tx1"/>
            </w14:solidFill>
          </w14:textFill>
        </w:rPr>
        <w:t>not</w:t>
      </w:r>
      <w:r>
        <w:rPr>
          <w:color w:val="000000" w:themeColor="text1"/>
          <w14:textFill>
            <w14:solidFill>
              <w14:schemeClr w14:val="tx1"/>
            </w14:solidFill>
          </w14:textFill>
        </w:rPr>
        <w:t xml:space="preserve"> be selected. </w:t>
      </w:r>
    </w:p>
    <w:p w14:paraId="4EAE6F95">
      <w:pPr>
        <w:pStyle w:val="2"/>
        <w:rPr>
          <w:color w:val="000000" w:themeColor="text1"/>
          <w14:textFill>
            <w14:solidFill>
              <w14:schemeClr w14:val="tx1"/>
            </w14:solidFill>
          </w14:textFill>
        </w:rPr>
      </w:pPr>
      <w:r>
        <w:rPr>
          <w:color w:val="000000" w:themeColor="text1"/>
          <w14:textFill>
            <w14:solidFill>
              <w14:schemeClr w14:val="tx1"/>
            </w14:solidFill>
          </w14:textFill>
        </w:rPr>
        <w:t>Units</w:t>
      </w:r>
    </w:p>
    <w:p w14:paraId="14FB89D0">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Use either SI (MKS) or CGS as primary units. (SI units are strongly encouraged.) English units may be used as secondary units (in parentheses). </w:t>
      </w:r>
      <w:r>
        <w:rPr>
          <w:b/>
          <w:bCs/>
          <w:color w:val="000000" w:themeColor="text1"/>
          <w14:textFill>
            <w14:solidFill>
              <w14:schemeClr w14:val="tx1"/>
            </w14:solidFill>
          </w14:textFill>
        </w:rPr>
        <w:t>This applies to papers in data storage.</w:t>
      </w:r>
      <w:r>
        <w:rPr>
          <w:color w:val="000000" w:themeColor="text1"/>
          <w14:textFill>
            <w14:solidFill>
              <w14:schemeClr w14:val="tx1"/>
            </w14:solidFill>
          </w14:textFill>
        </w:rPr>
        <w:t xml:space="preserve"> For example, write “15 Gb/cm</w:t>
      </w:r>
      <w:r>
        <w:rPr>
          <w:color w:val="000000" w:themeColor="text1"/>
          <w:vertAlign w:val="superscript"/>
          <w14:textFill>
            <w14:solidFill>
              <w14:schemeClr w14:val="tx1"/>
            </w14:solidFill>
          </w14:textFill>
        </w:rPr>
        <w:t>2</w:t>
      </w:r>
      <w:r>
        <w:rPr>
          <w:color w:val="000000" w:themeColor="text1"/>
          <w14:textFill>
            <w14:solidFill>
              <w14:schemeClr w14:val="tx1"/>
            </w14:solidFill>
          </w14:textFill>
        </w:rPr>
        <w:t xml:space="preserve"> (100 Gb/in</w:t>
      </w:r>
      <w:r>
        <w:rPr>
          <w:color w:val="000000" w:themeColor="text1"/>
          <w:vertAlign w:val="superscript"/>
          <w14:textFill>
            <w14:solidFill>
              <w14:schemeClr w14:val="tx1"/>
            </w14:solidFill>
          </w14:textFill>
        </w:rPr>
        <w:t>2</w:t>
      </w:r>
      <w:r>
        <w:rPr>
          <w:color w:val="000000" w:themeColor="text1"/>
          <w14:textFill>
            <w14:solidFill>
              <w14:schemeClr w14:val="tx1"/>
            </w14:solidFill>
          </w14:textFill>
        </w:rPr>
        <w:t>).” An exception is when English units are used as identifiers in trade, such as “3½ in disk drive.” Avoid combining SI and CGS units, such as current in amperes and magnetic field in oersteds. This often leads to confusion because equations do not balance dimensionally. If you must use mixed units, clearly state the units for each quantity in an equation.</w:t>
      </w:r>
    </w:p>
    <w:p w14:paraId="10E2AC82">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The SI unit for magnetic field strength </w:t>
      </w:r>
      <w:r>
        <w:rPr>
          <w:i/>
          <w:iCs/>
          <w:color w:val="000000" w:themeColor="text1"/>
          <w14:textFill>
            <w14:solidFill>
              <w14:schemeClr w14:val="tx1"/>
            </w14:solidFill>
          </w14:textFill>
        </w:rPr>
        <w:t>H</w:t>
      </w:r>
      <w:r>
        <w:rPr>
          <w:color w:val="000000" w:themeColor="text1"/>
          <w14:textFill>
            <w14:solidFill>
              <w14:schemeClr w14:val="tx1"/>
            </w14:solidFill>
          </w14:textFill>
        </w:rPr>
        <w:t xml:space="preserve"> is A/m. However, if you wish to use units of T, either refer to magnetic flux density </w:t>
      </w:r>
      <w:r>
        <w:rPr>
          <w:i/>
          <w:iCs/>
          <w:color w:val="000000" w:themeColor="text1"/>
          <w14:textFill>
            <w14:solidFill>
              <w14:schemeClr w14:val="tx1"/>
            </w14:solidFill>
          </w14:textFill>
        </w:rPr>
        <w:t>B</w:t>
      </w:r>
      <w:r>
        <w:rPr>
          <w:color w:val="000000" w:themeColor="text1"/>
          <w14:textFill>
            <w14:solidFill>
              <w14:schemeClr w14:val="tx1"/>
            </w14:solidFill>
          </w14:textFill>
        </w:rPr>
        <w:t xml:space="preserve"> or magnetic field strength symbolized as µ</w:t>
      </w:r>
      <w:r>
        <w:rPr>
          <w:color w:val="000000" w:themeColor="text1"/>
          <w:vertAlign w:val="subscript"/>
          <w14:textFill>
            <w14:solidFill>
              <w14:schemeClr w14:val="tx1"/>
            </w14:solidFill>
          </w14:textFill>
        </w:rPr>
        <w:t>0</w:t>
      </w:r>
      <w:r>
        <w:rPr>
          <w:i/>
          <w:iCs/>
          <w:color w:val="000000" w:themeColor="text1"/>
          <w14:textFill>
            <w14:solidFill>
              <w14:schemeClr w14:val="tx1"/>
            </w14:solidFill>
          </w14:textFill>
        </w:rPr>
        <w:t>H</w:t>
      </w:r>
      <w:r>
        <w:rPr>
          <w:color w:val="000000" w:themeColor="text1"/>
          <w14:textFill>
            <w14:solidFill>
              <w14:schemeClr w14:val="tx1"/>
            </w14:solidFill>
          </w14:textFill>
        </w:rPr>
        <w:t>. Use the center dot to separate compound units, e.g., “A·m</w:t>
      </w:r>
      <w:r>
        <w:rPr>
          <w:color w:val="000000" w:themeColor="text1"/>
          <w:vertAlign w:val="superscript"/>
          <w14:textFill>
            <w14:solidFill>
              <w14:schemeClr w14:val="tx1"/>
            </w14:solidFill>
          </w14:textFill>
        </w:rPr>
        <w:t>2</w:t>
      </w:r>
      <w:r>
        <w:rPr>
          <w:color w:val="000000" w:themeColor="text1"/>
          <w14:textFill>
            <w14:solidFill>
              <w14:schemeClr w14:val="tx1"/>
            </w14:solidFill>
          </w14:textFill>
        </w:rPr>
        <w:t>.”</w:t>
      </w:r>
    </w:p>
    <w:p w14:paraId="3788C337">
      <w:pPr>
        <w:pStyle w:val="30"/>
        <w:rPr>
          <w:color w:val="000000" w:themeColor="text1"/>
          <w14:textFill>
            <w14:solidFill>
              <w14:schemeClr w14:val="tx1"/>
            </w14:solidFill>
          </w14:textFill>
        </w:rPr>
      </w:pPr>
    </w:p>
    <w:p w14:paraId="6300B6B0">
      <w:pPr>
        <w:pStyle w:val="2"/>
        <w:rPr>
          <w:color w:val="000000" w:themeColor="text1"/>
          <w14:textFill>
            <w14:solidFill>
              <w14:schemeClr w14:val="tx1"/>
            </w14:solidFill>
          </w14:textFill>
        </w:rPr>
      </w:pPr>
      <w:r>
        <w:rPr>
          <w:color w:val="000000" w:themeColor="text1"/>
          <w14:textFill>
            <w14:solidFill>
              <w14:schemeClr w14:val="tx1"/>
            </w14:solidFill>
          </w14:textFill>
        </w:rPr>
        <w:t>Helpful Hints</w:t>
      </w:r>
    </w:p>
    <w:p w14:paraId="2D6D785F">
      <w:pPr>
        <w:pStyle w:val="3"/>
        <w:rPr>
          <w:color w:val="000000" w:themeColor="text1"/>
          <w14:textFill>
            <w14:solidFill>
              <w14:schemeClr w14:val="tx1"/>
            </w14:solidFill>
          </w14:textFill>
        </w:rPr>
      </w:pPr>
      <w:r>
        <w:rPr>
          <w:color w:val="000000" w:themeColor="text1"/>
          <w14:textFill>
            <w14:solidFill>
              <w14:schemeClr w14:val="tx1"/>
            </w14:solidFill>
          </w14:textFill>
        </w:rPr>
        <w:t>Figures and Tables</w:t>
      </w:r>
    </w:p>
    <w:p w14:paraId="6B0864B5">
      <w:pPr>
        <w:rPr>
          <w:color w:val="000000" w:themeColor="text1"/>
          <w14:textFill>
            <w14:solidFill>
              <w14:schemeClr w14:val="tx1"/>
            </w14:solidFill>
          </w14:textFill>
        </w:rPr>
      </w:pPr>
    </w:p>
    <w:p w14:paraId="102819EF">
      <w:pPr>
        <w:rPr>
          <w:color w:val="000000" w:themeColor="text1"/>
          <w14:textFill>
            <w14:solidFill>
              <w14:schemeClr w14:val="tx1"/>
            </w14:solidFill>
          </w14:textFill>
        </w:rPr>
      </w:pPr>
      <w:r>
        <w:rPr>
          <w:color w:val="000000" w:themeColor="text1"/>
          <w:lang w:val="en-AU" w:eastAsia="en-AU"/>
          <w14:textFill>
            <w14:solidFill>
              <w14:schemeClr w14:val="tx1"/>
            </w14:solidFill>
          </w14:textFill>
        </w:rPr>
        <w:drawing>
          <wp:inline distT="0" distB="0" distL="0" distR="0">
            <wp:extent cx="3108325" cy="2876550"/>
            <wp:effectExtent l="0" t="0" r="0" b="0"/>
            <wp:docPr id="2"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descr="Description: 1fig60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109368" cy="2877515"/>
                    </a:xfrm>
                    <a:prstGeom prst="rect">
                      <a:avLst/>
                    </a:prstGeom>
                    <a:noFill/>
                    <a:ln>
                      <a:noFill/>
                    </a:ln>
                  </pic:spPr>
                </pic:pic>
              </a:graphicData>
            </a:graphic>
          </wp:inline>
        </w:drawing>
      </w:r>
    </w:p>
    <w:p w14:paraId="7DE99CD8">
      <w:pPr>
        <w:pStyle w:val="19"/>
        <w:ind w:firstLine="0"/>
        <w:rPr>
          <w:color w:val="000000" w:themeColor="text1"/>
          <w14:textFill>
            <w14:solidFill>
              <w14:schemeClr w14:val="tx1"/>
            </w14:solidFill>
          </w14:textFill>
        </w:rPr>
      </w:pPr>
      <w:r>
        <w:rPr>
          <w:color w:val="000000" w:themeColor="text1"/>
          <w14:textFill>
            <w14:solidFill>
              <w14:schemeClr w14:val="tx1"/>
            </w14:solidFill>
          </w14:textFill>
        </w:rPr>
        <w:t>Fig. 1.  Magnetization as a function of applied field. Note that “Fig.” is abbreviated. There is a period after the figure number, followed by two spaces. It is good practice to explain the significance of the figure in the caption.</w:t>
      </w:r>
    </w:p>
    <w:p w14:paraId="739FCA5A">
      <w:pPr>
        <w:rPr>
          <w:color w:val="000000" w:themeColor="text1"/>
          <w14:textFill>
            <w14:solidFill>
              <w14:schemeClr w14:val="tx1"/>
            </w14:solidFill>
          </w14:textFill>
        </w:rPr>
      </w:pPr>
    </w:p>
    <w:p w14:paraId="5BAFA6B5">
      <w:pPr>
        <w:pStyle w:val="30"/>
        <w:rPr>
          <w:color w:val="000000" w:themeColor="text1"/>
          <w14:textFill>
            <w14:solidFill>
              <w14:schemeClr w14:val="tx1"/>
            </w14:solidFill>
          </w14:textFill>
        </w:rPr>
      </w:pPr>
      <w:r>
        <w:rPr>
          <w:b/>
          <w:bCs/>
          <w:i/>
          <w:iCs/>
          <w:color w:val="000000" w:themeColor="text1"/>
          <w14:textFill>
            <w14:solidFill>
              <w14:schemeClr w14:val="tx1"/>
            </w14:solidFill>
          </w14:textFill>
        </w:rPr>
        <w:t xml:space="preserve">Instructions about final paper and figure submissions in this document are for IEEE journals; please use this document as a “template” to prepare your manuscript. For submission guidelines, follow instructions on paper submission system as well as the Conference website. </w:t>
      </w:r>
      <w:r>
        <w:rPr>
          <w:color w:val="000000" w:themeColor="text1"/>
          <w14:textFill>
            <w14:solidFill>
              <w14:schemeClr w14:val="tx1"/>
            </w14:solidFill>
          </w14:textFill>
        </w:rPr>
        <w:t xml:space="preserve">Because IEEE will do the final formatting of your paper, you do not need to position figures and tables at the top and bottom of each column. In fact, all figures, figure captions, and tables can be at the end of the paper. Large figures and tables may span both columns. Place figure captions below the figures; place table titles above the tables. If your figure has two parts, include the labels “(a)” and “(b)” as part of the artwork. Please verify that the figures and tables you mention in the text actually exist. </w:t>
      </w:r>
      <w:r>
        <w:rPr>
          <w:b/>
          <w:bCs/>
          <w:color w:val="000000" w:themeColor="text1"/>
          <w14:textFill>
            <w14:solidFill>
              <w14:schemeClr w14:val="tx1"/>
            </w14:solidFill>
          </w14:textFill>
        </w:rPr>
        <w:t xml:space="preserve">Please do not include captions as part of the figures. Do not put captions in “text boxes” linked to the figures. Do not put borders around the outside of your figures. </w:t>
      </w:r>
      <w:r>
        <w:rPr>
          <w:color w:val="000000" w:themeColor="text1"/>
          <w14:textFill>
            <w14:solidFill>
              <w14:schemeClr w14:val="tx1"/>
            </w14:solidFill>
          </w14:textFill>
        </w:rPr>
        <w:t>Use the abbreviation “Fig.” even at the beginning of a sentence. Do not abbreviate “Table.” Tables are numbered with Roman numerals. Data charts which are typically black and white, but sometimes include color</w:t>
      </w:r>
    </w:p>
    <w:p w14:paraId="1F4D85DB">
      <w:pPr>
        <w:pStyle w:val="30"/>
        <w:rPr>
          <w:color w:val="000000" w:themeColor="text1"/>
          <w14:textFill>
            <w14:solidFill>
              <w14:schemeClr w14:val="tx1"/>
            </w14:solidFill>
          </w14:textFill>
        </w:rPr>
      </w:pPr>
    </w:p>
    <w:p w14:paraId="490D2A4A">
      <w:pPr>
        <w:pStyle w:val="30"/>
        <w:rPr>
          <w:color w:val="000000" w:themeColor="text1"/>
          <w14:textFill>
            <w14:solidFill>
              <w14:schemeClr w14:val="tx1"/>
            </w14:solidFill>
          </w14:textFill>
        </w:rPr>
      </w:pPr>
    </w:p>
    <w:p w14:paraId="6CE091B3">
      <w:pPr>
        <w:pStyle w:val="30"/>
        <w:rPr>
          <w:color w:val="000000" w:themeColor="text1"/>
          <w14:textFill>
            <w14:solidFill>
              <w14:schemeClr w14:val="tx1"/>
            </w14:solidFill>
          </w14:textFill>
        </w:rPr>
      </w:pPr>
    </w:p>
    <w:p w14:paraId="37624D4D">
      <w:pPr>
        <w:pStyle w:val="32"/>
        <w:rPr>
          <w:color w:val="000000" w:themeColor="text1"/>
          <w14:textFill>
            <w14:solidFill>
              <w14:schemeClr w14:val="tx1"/>
            </w14:solidFill>
          </w14:textFill>
        </w:rPr>
      </w:pPr>
      <w:r>
        <w:rPr>
          <w:color w:val="000000" w:themeColor="text1"/>
          <w14:textFill>
            <w14:solidFill>
              <w14:schemeClr w14:val="tx1"/>
            </w14:solidFill>
          </w14:textFill>
        </w:rPr>
        <w:t>TABLE I</w:t>
      </w:r>
    </w:p>
    <w:p w14:paraId="513C673A">
      <w:pPr>
        <w:pStyle w:val="32"/>
        <w:rPr>
          <w:color w:val="000000" w:themeColor="text1"/>
          <w14:textFill>
            <w14:solidFill>
              <w14:schemeClr w14:val="tx1"/>
            </w14:solidFill>
          </w14:textFill>
        </w:rPr>
      </w:pPr>
      <w:r>
        <w:rPr>
          <w:color w:val="000000" w:themeColor="text1"/>
          <w14:textFill>
            <w14:solidFill>
              <w14:schemeClr w14:val="tx1"/>
            </w14:solidFill>
          </w14:textFill>
        </w:rPr>
        <w:t>Units for Magnetic Properties</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710"/>
        <w:gridCol w:w="2394"/>
      </w:tblGrid>
      <w:tr w14:paraId="1B4CF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20" w:type="dxa"/>
            <w:vAlign w:val="center"/>
          </w:tcPr>
          <w:p w14:paraId="1550F743">
            <w:pPr>
              <w:jc w:val="cente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Symbol</w:t>
            </w:r>
          </w:p>
        </w:tc>
        <w:tc>
          <w:tcPr>
            <w:tcW w:w="1710" w:type="dxa"/>
            <w:vAlign w:val="center"/>
          </w:tcPr>
          <w:p w14:paraId="5E2A7AFD">
            <w:pPr>
              <w:pStyle w:val="32"/>
              <w:rPr>
                <w:smallCaps w:val="0"/>
                <w:color w:val="000000" w:themeColor="text1"/>
                <w14:textFill>
                  <w14:solidFill>
                    <w14:schemeClr w14:val="tx1"/>
                  </w14:solidFill>
                </w14:textFill>
              </w:rPr>
            </w:pPr>
            <w:r>
              <w:rPr>
                <w:smallCaps w:val="0"/>
                <w:color w:val="000000" w:themeColor="text1"/>
                <w14:textFill>
                  <w14:solidFill>
                    <w14:schemeClr w14:val="tx1"/>
                  </w14:solidFill>
                </w14:textFill>
              </w:rPr>
              <w:t>Quantity</w:t>
            </w:r>
          </w:p>
        </w:tc>
        <w:tc>
          <w:tcPr>
            <w:tcW w:w="2394" w:type="dxa"/>
            <w:vAlign w:val="center"/>
          </w:tcPr>
          <w:p w14:paraId="1EBD17D9">
            <w:pPr>
              <w:jc w:val="cente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Conversion from Gaussian and</w:t>
            </w:r>
          </w:p>
          <w:p w14:paraId="5748B4CD">
            <w:pPr>
              <w:jc w:val="cente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 xml:space="preserve">CGS EMU to SI </w:t>
            </w:r>
            <w:r>
              <w:rPr>
                <w:color w:val="000000" w:themeColor="text1"/>
                <w:sz w:val="16"/>
                <w:szCs w:val="16"/>
                <w:vertAlign w:val="superscript"/>
                <w14:textFill>
                  <w14:solidFill>
                    <w14:schemeClr w14:val="tx1"/>
                  </w14:solidFill>
                </w14:textFill>
              </w:rPr>
              <w:t>a</w:t>
            </w:r>
          </w:p>
        </w:tc>
      </w:tr>
      <w:tr w14:paraId="10FE0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72756E06">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sym w:font="Symbol" w:char="F046"/>
            </w:r>
          </w:p>
        </w:tc>
        <w:tc>
          <w:tcPr>
            <w:tcW w:w="1710" w:type="dxa"/>
          </w:tcPr>
          <w:p w14:paraId="1E0ADEC8">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magnetic flux</w:t>
            </w:r>
          </w:p>
        </w:tc>
        <w:tc>
          <w:tcPr>
            <w:tcW w:w="2394" w:type="dxa"/>
          </w:tcPr>
          <w:p w14:paraId="22116936">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 xml:space="preserve">1 Mx </w:t>
            </w:r>
            <w:r>
              <w:rPr>
                <w:color w:val="000000" w:themeColor="text1"/>
                <w:sz w:val="16"/>
                <w:szCs w:val="16"/>
                <w14:textFill>
                  <w14:solidFill>
                    <w14:schemeClr w14:val="tx1"/>
                  </w14:solidFill>
                </w14:textFill>
              </w:rPr>
              <w:sym w:font="Symbol" w:char="F0AE"/>
            </w:r>
            <w:r>
              <w:rPr>
                <w:color w:val="000000" w:themeColor="text1"/>
                <w:sz w:val="16"/>
                <w:szCs w:val="16"/>
                <w14:textFill>
                  <w14:solidFill>
                    <w14:schemeClr w14:val="tx1"/>
                  </w14:solidFill>
                </w14:textFill>
              </w:rPr>
              <w:t xml:space="preserve"> 10</w:t>
            </w:r>
            <w:r>
              <w:rPr>
                <w:color w:val="000000" w:themeColor="text1"/>
                <w:sz w:val="16"/>
                <w:szCs w:val="16"/>
                <w:vertAlign w:val="superscript"/>
                <w14:textFill>
                  <w14:solidFill>
                    <w14:schemeClr w14:val="tx1"/>
                  </w14:solidFill>
                </w14:textFill>
              </w:rPr>
              <w:sym w:font="Symbol" w:char="F02D"/>
            </w:r>
            <w:r>
              <w:rPr>
                <w:color w:val="000000" w:themeColor="text1"/>
                <w:sz w:val="16"/>
                <w:szCs w:val="16"/>
                <w:vertAlign w:val="superscript"/>
                <w14:textFill>
                  <w14:solidFill>
                    <w14:schemeClr w14:val="tx1"/>
                  </w14:solidFill>
                </w14:textFill>
              </w:rPr>
              <w:t>8</w:t>
            </w:r>
            <w:r>
              <w:rPr>
                <w:color w:val="000000" w:themeColor="text1"/>
                <w:sz w:val="16"/>
                <w:szCs w:val="16"/>
                <w14:textFill>
                  <w14:solidFill>
                    <w14:schemeClr w14:val="tx1"/>
                  </w14:solidFill>
                </w14:textFill>
              </w:rPr>
              <w:t xml:space="preserve"> Wb = 10</w:t>
            </w:r>
            <w:r>
              <w:rPr>
                <w:color w:val="000000" w:themeColor="text1"/>
                <w:sz w:val="16"/>
                <w:szCs w:val="16"/>
                <w:vertAlign w:val="superscript"/>
                <w14:textFill>
                  <w14:solidFill>
                    <w14:schemeClr w14:val="tx1"/>
                  </w14:solidFill>
                </w14:textFill>
              </w:rPr>
              <w:sym w:font="Symbol" w:char="F02D"/>
            </w:r>
            <w:r>
              <w:rPr>
                <w:color w:val="000000" w:themeColor="text1"/>
                <w:sz w:val="16"/>
                <w:szCs w:val="16"/>
                <w:vertAlign w:val="superscript"/>
                <w14:textFill>
                  <w14:solidFill>
                    <w14:schemeClr w14:val="tx1"/>
                  </w14:solidFill>
                </w14:textFill>
              </w:rPr>
              <w:t>8</w:t>
            </w:r>
            <w:r>
              <w:rPr>
                <w:color w:val="000000" w:themeColor="text1"/>
                <w:sz w:val="16"/>
                <w:szCs w:val="16"/>
                <w14:textFill>
                  <w14:solidFill>
                    <w14:schemeClr w14:val="tx1"/>
                  </w14:solidFill>
                </w14:textFill>
              </w:rPr>
              <w:t xml:space="preserve"> V·s</w:t>
            </w:r>
          </w:p>
        </w:tc>
      </w:tr>
      <w:tr w14:paraId="6AE0D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7D2689E4">
            <w:pPr>
              <w:rPr>
                <w:i/>
                <w:iCs/>
                <w:color w:val="000000" w:themeColor="text1"/>
                <w:sz w:val="16"/>
                <w:szCs w:val="16"/>
                <w14:textFill>
                  <w14:solidFill>
                    <w14:schemeClr w14:val="tx1"/>
                  </w14:solidFill>
                </w14:textFill>
              </w:rPr>
            </w:pPr>
            <w:r>
              <w:rPr>
                <w:i/>
                <w:iCs/>
                <w:color w:val="000000" w:themeColor="text1"/>
                <w:sz w:val="16"/>
                <w:szCs w:val="16"/>
                <w14:textFill>
                  <w14:solidFill>
                    <w14:schemeClr w14:val="tx1"/>
                  </w14:solidFill>
                </w14:textFill>
              </w:rPr>
              <w:t>B</w:t>
            </w:r>
          </w:p>
        </w:tc>
        <w:tc>
          <w:tcPr>
            <w:tcW w:w="1710" w:type="dxa"/>
          </w:tcPr>
          <w:p w14:paraId="4A84E4B7">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 xml:space="preserve">magnetic flux density, </w:t>
            </w:r>
          </w:p>
          <w:p w14:paraId="6747281B">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 xml:space="preserve">  magnetic induction</w:t>
            </w:r>
          </w:p>
        </w:tc>
        <w:tc>
          <w:tcPr>
            <w:tcW w:w="2394" w:type="dxa"/>
          </w:tcPr>
          <w:p w14:paraId="2FDA75AB">
            <w:pPr>
              <w:rPr>
                <w:color w:val="000000" w:themeColor="text1"/>
                <w:sz w:val="16"/>
                <w:szCs w:val="16"/>
                <w:vertAlign w:val="superscript"/>
                <w14:textFill>
                  <w14:solidFill>
                    <w14:schemeClr w14:val="tx1"/>
                  </w14:solidFill>
                </w14:textFill>
              </w:rPr>
            </w:pPr>
            <w:r>
              <w:rPr>
                <w:color w:val="000000" w:themeColor="text1"/>
                <w:sz w:val="16"/>
                <w:szCs w:val="16"/>
                <w14:textFill>
                  <w14:solidFill>
                    <w14:schemeClr w14:val="tx1"/>
                  </w14:solidFill>
                </w14:textFill>
              </w:rPr>
              <w:t xml:space="preserve">1 G </w:t>
            </w:r>
            <w:r>
              <w:rPr>
                <w:color w:val="000000" w:themeColor="text1"/>
                <w:sz w:val="16"/>
                <w:szCs w:val="16"/>
                <w14:textFill>
                  <w14:solidFill>
                    <w14:schemeClr w14:val="tx1"/>
                  </w14:solidFill>
                </w14:textFill>
              </w:rPr>
              <w:sym w:font="Symbol" w:char="F0AE"/>
            </w:r>
            <w:r>
              <w:rPr>
                <w:color w:val="000000" w:themeColor="text1"/>
                <w:sz w:val="16"/>
                <w:szCs w:val="16"/>
                <w14:textFill>
                  <w14:solidFill>
                    <w14:schemeClr w14:val="tx1"/>
                  </w14:solidFill>
                </w14:textFill>
              </w:rPr>
              <w:t xml:space="preserve"> 10</w:t>
            </w:r>
            <w:r>
              <w:rPr>
                <w:color w:val="000000" w:themeColor="text1"/>
                <w:sz w:val="16"/>
                <w:szCs w:val="16"/>
                <w:vertAlign w:val="superscript"/>
                <w14:textFill>
                  <w14:solidFill>
                    <w14:schemeClr w14:val="tx1"/>
                  </w14:solidFill>
                </w14:textFill>
              </w:rPr>
              <w:sym w:font="Symbol" w:char="F02D"/>
            </w:r>
            <w:r>
              <w:rPr>
                <w:color w:val="000000" w:themeColor="text1"/>
                <w:sz w:val="16"/>
                <w:szCs w:val="16"/>
                <w:vertAlign w:val="superscript"/>
                <w14:textFill>
                  <w14:solidFill>
                    <w14:schemeClr w14:val="tx1"/>
                  </w14:solidFill>
                </w14:textFill>
              </w:rPr>
              <w:t>4</w:t>
            </w:r>
            <w:r>
              <w:rPr>
                <w:color w:val="000000" w:themeColor="text1"/>
                <w:sz w:val="16"/>
                <w:szCs w:val="16"/>
                <w14:textFill>
                  <w14:solidFill>
                    <w14:schemeClr w14:val="tx1"/>
                  </w14:solidFill>
                </w14:textFill>
              </w:rPr>
              <w:t xml:space="preserve"> T = 10</w:t>
            </w:r>
            <w:r>
              <w:rPr>
                <w:color w:val="000000" w:themeColor="text1"/>
                <w:sz w:val="16"/>
                <w:szCs w:val="16"/>
                <w:vertAlign w:val="superscript"/>
                <w14:textFill>
                  <w14:solidFill>
                    <w14:schemeClr w14:val="tx1"/>
                  </w14:solidFill>
                </w14:textFill>
              </w:rPr>
              <w:sym w:font="Symbol" w:char="F02D"/>
            </w:r>
            <w:r>
              <w:rPr>
                <w:color w:val="000000" w:themeColor="text1"/>
                <w:sz w:val="16"/>
                <w:szCs w:val="16"/>
                <w:vertAlign w:val="superscript"/>
                <w14:textFill>
                  <w14:solidFill>
                    <w14:schemeClr w14:val="tx1"/>
                  </w14:solidFill>
                </w14:textFill>
              </w:rPr>
              <w:t>4</w:t>
            </w:r>
            <w:r>
              <w:rPr>
                <w:color w:val="000000" w:themeColor="text1"/>
                <w:sz w:val="16"/>
                <w:szCs w:val="16"/>
                <w14:textFill>
                  <w14:solidFill>
                    <w14:schemeClr w14:val="tx1"/>
                  </w14:solidFill>
                </w14:textFill>
              </w:rPr>
              <w:t xml:space="preserve"> Wb/m</w:t>
            </w:r>
            <w:r>
              <w:rPr>
                <w:color w:val="000000" w:themeColor="text1"/>
                <w:sz w:val="16"/>
                <w:szCs w:val="16"/>
                <w:vertAlign w:val="superscript"/>
                <w14:textFill>
                  <w14:solidFill>
                    <w14:schemeClr w14:val="tx1"/>
                  </w14:solidFill>
                </w14:textFill>
              </w:rPr>
              <w:t>2</w:t>
            </w:r>
          </w:p>
        </w:tc>
      </w:tr>
      <w:tr w14:paraId="02AB5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F907483">
            <w:pPr>
              <w:rPr>
                <w:i/>
                <w:iCs/>
                <w:color w:val="000000" w:themeColor="text1"/>
                <w:sz w:val="16"/>
                <w:szCs w:val="16"/>
                <w14:textFill>
                  <w14:solidFill>
                    <w14:schemeClr w14:val="tx1"/>
                  </w14:solidFill>
                </w14:textFill>
              </w:rPr>
            </w:pPr>
            <w:r>
              <w:rPr>
                <w:i/>
                <w:iCs/>
                <w:color w:val="000000" w:themeColor="text1"/>
                <w:sz w:val="16"/>
                <w:szCs w:val="16"/>
                <w14:textFill>
                  <w14:solidFill>
                    <w14:schemeClr w14:val="tx1"/>
                  </w14:solidFill>
                </w14:textFill>
              </w:rPr>
              <w:t>H</w:t>
            </w:r>
          </w:p>
        </w:tc>
        <w:tc>
          <w:tcPr>
            <w:tcW w:w="1710" w:type="dxa"/>
          </w:tcPr>
          <w:p w14:paraId="73D29589">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magnetic field strength</w:t>
            </w:r>
          </w:p>
        </w:tc>
        <w:tc>
          <w:tcPr>
            <w:tcW w:w="2394" w:type="dxa"/>
          </w:tcPr>
          <w:p w14:paraId="70BFA1B3">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 xml:space="preserve">1 Oe </w:t>
            </w:r>
            <w:r>
              <w:rPr>
                <w:color w:val="000000" w:themeColor="text1"/>
                <w:sz w:val="16"/>
                <w:szCs w:val="16"/>
                <w14:textFill>
                  <w14:solidFill>
                    <w14:schemeClr w14:val="tx1"/>
                  </w14:solidFill>
                </w14:textFill>
              </w:rPr>
              <w:sym w:font="Symbol" w:char="F0AE"/>
            </w:r>
            <w:r>
              <w:rPr>
                <w:color w:val="000000" w:themeColor="text1"/>
                <w:sz w:val="16"/>
                <w:szCs w:val="16"/>
                <w14:textFill>
                  <w14:solidFill>
                    <w14:schemeClr w14:val="tx1"/>
                  </w14:solidFill>
                </w14:textFill>
              </w:rPr>
              <w:t xml:space="preserve"> 10</w:t>
            </w:r>
            <w:r>
              <w:rPr>
                <w:color w:val="000000" w:themeColor="text1"/>
                <w:sz w:val="16"/>
                <w:szCs w:val="16"/>
                <w:vertAlign w:val="superscript"/>
                <w14:textFill>
                  <w14:solidFill>
                    <w14:schemeClr w14:val="tx1"/>
                  </w14:solidFill>
                </w14:textFill>
              </w:rPr>
              <w:t>3</w:t>
            </w:r>
            <w:r>
              <w:rPr>
                <w:color w:val="000000" w:themeColor="text1"/>
                <w:sz w:val="16"/>
                <w:szCs w:val="16"/>
                <w14:textFill>
                  <w14:solidFill>
                    <w14:schemeClr w14:val="tx1"/>
                  </w14:solidFill>
                </w14:textFill>
              </w:rPr>
              <w:t>/(4</w:t>
            </w:r>
            <w:r>
              <w:rPr>
                <w:color w:val="000000" w:themeColor="text1"/>
                <w:sz w:val="16"/>
                <w:szCs w:val="16"/>
                <w14:textFill>
                  <w14:solidFill>
                    <w14:schemeClr w14:val="tx1"/>
                  </w14:solidFill>
                </w14:textFill>
              </w:rPr>
              <w:sym w:font="Symbol" w:char="F070"/>
            </w:r>
            <w:r>
              <w:rPr>
                <w:color w:val="000000" w:themeColor="text1"/>
                <w:sz w:val="16"/>
                <w:szCs w:val="16"/>
                <w14:textFill>
                  <w14:solidFill>
                    <w14:schemeClr w14:val="tx1"/>
                  </w14:solidFill>
                </w14:textFill>
              </w:rPr>
              <w:t>) A/m</w:t>
            </w:r>
          </w:p>
        </w:tc>
      </w:tr>
      <w:tr w14:paraId="494E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22EADCE">
            <w:pPr>
              <w:rPr>
                <w:i/>
                <w:iCs/>
                <w:color w:val="000000" w:themeColor="text1"/>
                <w:sz w:val="16"/>
                <w:szCs w:val="16"/>
                <w14:textFill>
                  <w14:solidFill>
                    <w14:schemeClr w14:val="tx1"/>
                  </w14:solidFill>
                </w14:textFill>
              </w:rPr>
            </w:pPr>
            <w:r>
              <w:rPr>
                <w:i/>
                <w:iCs/>
                <w:color w:val="000000" w:themeColor="text1"/>
                <w:sz w:val="16"/>
                <w:szCs w:val="16"/>
                <w14:textFill>
                  <w14:solidFill>
                    <w14:schemeClr w14:val="tx1"/>
                  </w14:solidFill>
                </w14:textFill>
              </w:rPr>
              <w:t>m</w:t>
            </w:r>
          </w:p>
        </w:tc>
        <w:tc>
          <w:tcPr>
            <w:tcW w:w="1710" w:type="dxa"/>
          </w:tcPr>
          <w:p w14:paraId="53CE6073">
            <w:pPr>
              <w:rPr>
                <w:color w:val="000000" w:themeColor="text1"/>
                <w:sz w:val="16"/>
                <w:szCs w:val="16"/>
                <w:vertAlign w:val="superscript"/>
                <w14:textFill>
                  <w14:solidFill>
                    <w14:schemeClr w14:val="tx1"/>
                  </w14:solidFill>
                </w14:textFill>
              </w:rPr>
            </w:pPr>
            <w:r>
              <w:rPr>
                <w:color w:val="000000" w:themeColor="text1"/>
                <w:sz w:val="16"/>
                <w:szCs w:val="16"/>
                <w14:textFill>
                  <w14:solidFill>
                    <w14:schemeClr w14:val="tx1"/>
                  </w14:solidFill>
                </w14:textFill>
              </w:rPr>
              <w:t>magnetic moment</w:t>
            </w:r>
          </w:p>
        </w:tc>
        <w:tc>
          <w:tcPr>
            <w:tcW w:w="2394" w:type="dxa"/>
          </w:tcPr>
          <w:p w14:paraId="2F56F77C">
            <w:pPr>
              <w:rPr>
                <w:color w:val="000000" w:themeColor="text1"/>
                <w:sz w:val="16"/>
                <w:szCs w:val="16"/>
                <w:lang w:val="de-DE"/>
                <w14:textFill>
                  <w14:solidFill>
                    <w14:schemeClr w14:val="tx1"/>
                  </w14:solidFill>
                </w14:textFill>
              </w:rPr>
            </w:pPr>
            <w:r>
              <w:rPr>
                <w:color w:val="000000" w:themeColor="text1"/>
                <w:sz w:val="16"/>
                <w:szCs w:val="16"/>
                <w:lang w:val="de-DE"/>
                <w14:textFill>
                  <w14:solidFill>
                    <w14:schemeClr w14:val="tx1"/>
                  </w14:solidFill>
                </w14:textFill>
              </w:rPr>
              <w:t xml:space="preserve">1 erg/G = 1 emu </w:t>
            </w:r>
          </w:p>
          <w:p w14:paraId="36612ED5">
            <w:pPr>
              <w:rPr>
                <w:color w:val="000000" w:themeColor="text1"/>
                <w:sz w:val="16"/>
                <w:szCs w:val="16"/>
                <w:lang w:val="de-DE"/>
                <w14:textFill>
                  <w14:solidFill>
                    <w14:schemeClr w14:val="tx1"/>
                  </w14:solidFill>
                </w14:textFill>
              </w:rPr>
            </w:pPr>
            <w:r>
              <w:rPr>
                <w:color w:val="000000" w:themeColor="text1"/>
                <w:sz w:val="16"/>
                <w:szCs w:val="16"/>
                <w:lang w:val="de-DE"/>
                <w14:textFill>
                  <w14:solidFill>
                    <w14:schemeClr w14:val="tx1"/>
                  </w14:solidFill>
                </w14:textFill>
              </w:rPr>
              <w:t xml:space="preserve">  </w:t>
            </w:r>
            <w:r>
              <w:rPr>
                <w:color w:val="000000" w:themeColor="text1"/>
                <w:sz w:val="16"/>
                <w:szCs w:val="16"/>
                <w14:textFill>
                  <w14:solidFill>
                    <w14:schemeClr w14:val="tx1"/>
                  </w14:solidFill>
                </w14:textFill>
              </w:rPr>
              <w:sym w:font="Symbol" w:char="F0AE"/>
            </w:r>
            <w:r>
              <w:rPr>
                <w:color w:val="000000" w:themeColor="text1"/>
                <w:sz w:val="16"/>
                <w:szCs w:val="16"/>
                <w:lang w:val="de-DE"/>
                <w14:textFill>
                  <w14:solidFill>
                    <w14:schemeClr w14:val="tx1"/>
                  </w14:solidFill>
                </w14:textFill>
              </w:rPr>
              <w:t xml:space="preserve"> 10</w:t>
            </w:r>
            <w:r>
              <w:rPr>
                <w:color w:val="000000" w:themeColor="text1"/>
                <w:sz w:val="16"/>
                <w:szCs w:val="16"/>
                <w:vertAlign w:val="superscript"/>
                <w14:textFill>
                  <w14:solidFill>
                    <w14:schemeClr w14:val="tx1"/>
                  </w14:solidFill>
                </w14:textFill>
              </w:rPr>
              <w:sym w:font="Symbol" w:char="F02D"/>
            </w:r>
            <w:r>
              <w:rPr>
                <w:color w:val="000000" w:themeColor="text1"/>
                <w:sz w:val="16"/>
                <w:szCs w:val="16"/>
                <w:vertAlign w:val="superscript"/>
                <w:lang w:val="de-DE"/>
                <w14:textFill>
                  <w14:solidFill>
                    <w14:schemeClr w14:val="tx1"/>
                  </w14:solidFill>
                </w14:textFill>
              </w:rPr>
              <w:t>3</w:t>
            </w:r>
            <w:r>
              <w:rPr>
                <w:color w:val="000000" w:themeColor="text1"/>
                <w:sz w:val="16"/>
                <w:szCs w:val="16"/>
                <w:lang w:val="de-DE"/>
                <w14:textFill>
                  <w14:solidFill>
                    <w14:schemeClr w14:val="tx1"/>
                  </w14:solidFill>
                </w14:textFill>
              </w:rPr>
              <w:t xml:space="preserve"> A·m</w:t>
            </w:r>
            <w:r>
              <w:rPr>
                <w:color w:val="000000" w:themeColor="text1"/>
                <w:sz w:val="16"/>
                <w:szCs w:val="16"/>
                <w:vertAlign w:val="superscript"/>
                <w:lang w:val="de-DE"/>
                <w14:textFill>
                  <w14:solidFill>
                    <w14:schemeClr w14:val="tx1"/>
                  </w14:solidFill>
                </w14:textFill>
              </w:rPr>
              <w:t>2</w:t>
            </w:r>
            <w:r>
              <w:rPr>
                <w:color w:val="000000" w:themeColor="text1"/>
                <w:sz w:val="16"/>
                <w:szCs w:val="16"/>
                <w:lang w:val="de-DE"/>
                <w14:textFill>
                  <w14:solidFill>
                    <w14:schemeClr w14:val="tx1"/>
                  </w14:solidFill>
                </w14:textFill>
              </w:rPr>
              <w:t xml:space="preserve"> = 10</w:t>
            </w:r>
            <w:r>
              <w:rPr>
                <w:color w:val="000000" w:themeColor="text1"/>
                <w:sz w:val="16"/>
                <w:szCs w:val="16"/>
                <w:vertAlign w:val="superscript"/>
                <w14:textFill>
                  <w14:solidFill>
                    <w14:schemeClr w14:val="tx1"/>
                  </w14:solidFill>
                </w14:textFill>
              </w:rPr>
              <w:sym w:font="Symbol" w:char="F02D"/>
            </w:r>
            <w:r>
              <w:rPr>
                <w:color w:val="000000" w:themeColor="text1"/>
                <w:sz w:val="16"/>
                <w:szCs w:val="16"/>
                <w:vertAlign w:val="superscript"/>
                <w:lang w:val="de-DE"/>
                <w14:textFill>
                  <w14:solidFill>
                    <w14:schemeClr w14:val="tx1"/>
                  </w14:solidFill>
                </w14:textFill>
              </w:rPr>
              <w:t>3</w:t>
            </w:r>
            <w:r>
              <w:rPr>
                <w:color w:val="000000" w:themeColor="text1"/>
                <w:sz w:val="16"/>
                <w:szCs w:val="16"/>
                <w:lang w:val="de-DE"/>
                <w14:textFill>
                  <w14:solidFill>
                    <w14:schemeClr w14:val="tx1"/>
                  </w14:solidFill>
                </w14:textFill>
              </w:rPr>
              <w:t xml:space="preserve"> J/T</w:t>
            </w:r>
          </w:p>
        </w:tc>
      </w:tr>
      <w:tr w14:paraId="4FA11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618F53E3">
            <w:pPr>
              <w:rPr>
                <w:i/>
                <w:iCs/>
                <w:color w:val="000000" w:themeColor="text1"/>
                <w:sz w:val="16"/>
                <w:szCs w:val="16"/>
                <w14:textFill>
                  <w14:solidFill>
                    <w14:schemeClr w14:val="tx1"/>
                  </w14:solidFill>
                </w14:textFill>
              </w:rPr>
            </w:pPr>
            <w:r>
              <w:rPr>
                <w:i/>
                <w:iCs/>
                <w:color w:val="000000" w:themeColor="text1"/>
                <w:sz w:val="16"/>
                <w:szCs w:val="16"/>
                <w14:textFill>
                  <w14:solidFill>
                    <w14:schemeClr w14:val="tx1"/>
                  </w14:solidFill>
                </w14:textFill>
              </w:rPr>
              <w:t>M</w:t>
            </w:r>
          </w:p>
        </w:tc>
        <w:tc>
          <w:tcPr>
            <w:tcW w:w="1710" w:type="dxa"/>
          </w:tcPr>
          <w:p w14:paraId="5292126A">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magnetization</w:t>
            </w:r>
          </w:p>
        </w:tc>
        <w:tc>
          <w:tcPr>
            <w:tcW w:w="2394" w:type="dxa"/>
          </w:tcPr>
          <w:p w14:paraId="48D95C60">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1 erg/(G·cm</w:t>
            </w:r>
            <w:r>
              <w:rPr>
                <w:color w:val="000000" w:themeColor="text1"/>
                <w:sz w:val="16"/>
                <w:szCs w:val="16"/>
                <w:vertAlign w:val="superscript"/>
                <w14:textFill>
                  <w14:solidFill>
                    <w14:schemeClr w14:val="tx1"/>
                  </w14:solidFill>
                </w14:textFill>
              </w:rPr>
              <w:t>3</w:t>
            </w:r>
            <w:r>
              <w:rPr>
                <w:color w:val="000000" w:themeColor="text1"/>
                <w:sz w:val="16"/>
                <w:szCs w:val="16"/>
                <w14:textFill>
                  <w14:solidFill>
                    <w14:schemeClr w14:val="tx1"/>
                  </w14:solidFill>
                </w14:textFill>
              </w:rPr>
              <w:t>) = 1 emu/cm</w:t>
            </w:r>
            <w:r>
              <w:rPr>
                <w:color w:val="000000" w:themeColor="text1"/>
                <w:sz w:val="16"/>
                <w:szCs w:val="16"/>
                <w:vertAlign w:val="superscript"/>
                <w14:textFill>
                  <w14:solidFill>
                    <w14:schemeClr w14:val="tx1"/>
                  </w14:solidFill>
                </w14:textFill>
              </w:rPr>
              <w:t>3</w:t>
            </w:r>
          </w:p>
          <w:p w14:paraId="55B9AFFB">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 xml:space="preserve">  </w:t>
            </w:r>
            <w:r>
              <w:rPr>
                <w:color w:val="000000" w:themeColor="text1"/>
                <w:sz w:val="16"/>
                <w:szCs w:val="16"/>
                <w14:textFill>
                  <w14:solidFill>
                    <w14:schemeClr w14:val="tx1"/>
                  </w14:solidFill>
                </w14:textFill>
              </w:rPr>
              <w:sym w:font="Symbol" w:char="F0AE"/>
            </w:r>
            <w:r>
              <w:rPr>
                <w:color w:val="000000" w:themeColor="text1"/>
                <w:sz w:val="16"/>
                <w:szCs w:val="16"/>
                <w14:textFill>
                  <w14:solidFill>
                    <w14:schemeClr w14:val="tx1"/>
                  </w14:solidFill>
                </w14:textFill>
              </w:rPr>
              <w:t xml:space="preserve"> 10</w:t>
            </w:r>
            <w:r>
              <w:rPr>
                <w:color w:val="000000" w:themeColor="text1"/>
                <w:sz w:val="16"/>
                <w:szCs w:val="16"/>
                <w:vertAlign w:val="superscript"/>
                <w14:textFill>
                  <w14:solidFill>
                    <w14:schemeClr w14:val="tx1"/>
                  </w14:solidFill>
                </w14:textFill>
              </w:rPr>
              <w:t>3</w:t>
            </w:r>
            <w:r>
              <w:rPr>
                <w:color w:val="000000" w:themeColor="text1"/>
                <w:sz w:val="16"/>
                <w:szCs w:val="16"/>
                <w14:textFill>
                  <w14:solidFill>
                    <w14:schemeClr w14:val="tx1"/>
                  </w14:solidFill>
                </w14:textFill>
              </w:rPr>
              <w:t xml:space="preserve"> A/m</w:t>
            </w:r>
          </w:p>
        </w:tc>
      </w:tr>
      <w:tr w14:paraId="2447C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72603EF3">
            <w:pPr>
              <w:rPr>
                <w:i/>
                <w:iCs/>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4</w:t>
            </w:r>
            <w:r>
              <w:rPr>
                <w:color w:val="000000" w:themeColor="text1"/>
                <w:sz w:val="16"/>
                <w:szCs w:val="16"/>
                <w14:textFill>
                  <w14:solidFill>
                    <w14:schemeClr w14:val="tx1"/>
                  </w14:solidFill>
                </w14:textFill>
              </w:rPr>
              <w:sym w:font="Symbol" w:char="F070"/>
            </w:r>
            <w:r>
              <w:rPr>
                <w:i/>
                <w:iCs/>
                <w:color w:val="000000" w:themeColor="text1"/>
                <w:sz w:val="16"/>
                <w:szCs w:val="16"/>
                <w14:textFill>
                  <w14:solidFill>
                    <w14:schemeClr w14:val="tx1"/>
                  </w14:solidFill>
                </w14:textFill>
              </w:rPr>
              <w:t>M</w:t>
            </w:r>
          </w:p>
        </w:tc>
        <w:tc>
          <w:tcPr>
            <w:tcW w:w="1710" w:type="dxa"/>
          </w:tcPr>
          <w:p w14:paraId="715BE2D7">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magnetization</w:t>
            </w:r>
          </w:p>
        </w:tc>
        <w:tc>
          <w:tcPr>
            <w:tcW w:w="2394" w:type="dxa"/>
          </w:tcPr>
          <w:p w14:paraId="6D1A47F7">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 xml:space="preserve">1 G </w:t>
            </w:r>
            <w:r>
              <w:rPr>
                <w:color w:val="000000" w:themeColor="text1"/>
                <w:sz w:val="16"/>
                <w:szCs w:val="16"/>
                <w14:textFill>
                  <w14:solidFill>
                    <w14:schemeClr w14:val="tx1"/>
                  </w14:solidFill>
                </w14:textFill>
              </w:rPr>
              <w:sym w:font="Symbol" w:char="F0AE"/>
            </w:r>
            <w:r>
              <w:rPr>
                <w:color w:val="000000" w:themeColor="text1"/>
                <w:sz w:val="16"/>
                <w:szCs w:val="16"/>
                <w14:textFill>
                  <w14:solidFill>
                    <w14:schemeClr w14:val="tx1"/>
                  </w14:solidFill>
                </w14:textFill>
              </w:rPr>
              <w:t xml:space="preserve"> 10</w:t>
            </w:r>
            <w:r>
              <w:rPr>
                <w:color w:val="000000" w:themeColor="text1"/>
                <w:sz w:val="16"/>
                <w:szCs w:val="16"/>
                <w:vertAlign w:val="superscript"/>
                <w14:textFill>
                  <w14:solidFill>
                    <w14:schemeClr w14:val="tx1"/>
                  </w14:solidFill>
                </w14:textFill>
              </w:rPr>
              <w:t>3</w:t>
            </w:r>
            <w:r>
              <w:rPr>
                <w:color w:val="000000" w:themeColor="text1"/>
                <w:sz w:val="16"/>
                <w:szCs w:val="16"/>
                <w14:textFill>
                  <w14:solidFill>
                    <w14:schemeClr w14:val="tx1"/>
                  </w14:solidFill>
                </w14:textFill>
              </w:rPr>
              <w:t>/(4</w:t>
            </w:r>
            <w:r>
              <w:rPr>
                <w:color w:val="000000" w:themeColor="text1"/>
                <w:sz w:val="16"/>
                <w:szCs w:val="16"/>
                <w14:textFill>
                  <w14:solidFill>
                    <w14:schemeClr w14:val="tx1"/>
                  </w14:solidFill>
                </w14:textFill>
              </w:rPr>
              <w:sym w:font="Symbol" w:char="F070"/>
            </w:r>
            <w:r>
              <w:rPr>
                <w:color w:val="000000" w:themeColor="text1"/>
                <w:sz w:val="16"/>
                <w:szCs w:val="16"/>
                <w14:textFill>
                  <w14:solidFill>
                    <w14:schemeClr w14:val="tx1"/>
                  </w14:solidFill>
                </w14:textFill>
              </w:rPr>
              <w:t>) A/m</w:t>
            </w:r>
          </w:p>
        </w:tc>
      </w:tr>
      <w:tr w14:paraId="36AB4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70424AEF">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sym w:font="Symbol" w:char="F073"/>
            </w:r>
          </w:p>
        </w:tc>
        <w:tc>
          <w:tcPr>
            <w:tcW w:w="1710" w:type="dxa"/>
          </w:tcPr>
          <w:p w14:paraId="3A419CEC">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specific magnetization</w:t>
            </w:r>
          </w:p>
        </w:tc>
        <w:tc>
          <w:tcPr>
            <w:tcW w:w="2394" w:type="dxa"/>
          </w:tcPr>
          <w:p w14:paraId="022DEB5F">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 xml:space="preserve">1 erg/(G·g) = 1 emu/g </w:t>
            </w:r>
            <w:r>
              <w:rPr>
                <w:color w:val="000000" w:themeColor="text1"/>
                <w:sz w:val="16"/>
                <w:szCs w:val="16"/>
                <w14:textFill>
                  <w14:solidFill>
                    <w14:schemeClr w14:val="tx1"/>
                  </w14:solidFill>
                </w14:textFill>
              </w:rPr>
              <w:sym w:font="Symbol" w:char="F0AE"/>
            </w:r>
            <w:r>
              <w:rPr>
                <w:color w:val="000000" w:themeColor="text1"/>
                <w:sz w:val="16"/>
                <w:szCs w:val="16"/>
                <w14:textFill>
                  <w14:solidFill>
                    <w14:schemeClr w14:val="tx1"/>
                  </w14:solidFill>
                </w14:textFill>
              </w:rPr>
              <w:t xml:space="preserve"> 1 A·m</w:t>
            </w:r>
            <w:r>
              <w:rPr>
                <w:color w:val="000000" w:themeColor="text1"/>
                <w:sz w:val="16"/>
                <w:szCs w:val="16"/>
                <w:vertAlign w:val="superscript"/>
                <w14:textFill>
                  <w14:solidFill>
                    <w14:schemeClr w14:val="tx1"/>
                  </w14:solidFill>
                </w14:textFill>
              </w:rPr>
              <w:t>2</w:t>
            </w:r>
            <w:r>
              <w:rPr>
                <w:color w:val="000000" w:themeColor="text1"/>
                <w:sz w:val="16"/>
                <w:szCs w:val="16"/>
                <w14:textFill>
                  <w14:solidFill>
                    <w14:schemeClr w14:val="tx1"/>
                  </w14:solidFill>
                </w14:textFill>
              </w:rPr>
              <w:t>/kg</w:t>
            </w:r>
          </w:p>
        </w:tc>
      </w:tr>
      <w:tr w14:paraId="76AEB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6327C6EC">
            <w:pPr>
              <w:rPr>
                <w:i/>
                <w:iCs/>
                <w:color w:val="000000" w:themeColor="text1"/>
                <w:sz w:val="16"/>
                <w:szCs w:val="16"/>
                <w14:textFill>
                  <w14:solidFill>
                    <w14:schemeClr w14:val="tx1"/>
                  </w14:solidFill>
                </w14:textFill>
              </w:rPr>
            </w:pPr>
            <w:r>
              <w:rPr>
                <w:i/>
                <w:iCs/>
                <w:color w:val="000000" w:themeColor="text1"/>
                <w:sz w:val="16"/>
                <w:szCs w:val="16"/>
                <w14:textFill>
                  <w14:solidFill>
                    <w14:schemeClr w14:val="tx1"/>
                  </w14:solidFill>
                </w14:textFill>
              </w:rPr>
              <w:t>j</w:t>
            </w:r>
          </w:p>
        </w:tc>
        <w:tc>
          <w:tcPr>
            <w:tcW w:w="1710" w:type="dxa"/>
          </w:tcPr>
          <w:p w14:paraId="08073191">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 xml:space="preserve">magnetic dipole </w:t>
            </w:r>
          </w:p>
          <w:p w14:paraId="17053563">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 xml:space="preserve">  moment</w:t>
            </w:r>
          </w:p>
        </w:tc>
        <w:tc>
          <w:tcPr>
            <w:tcW w:w="2394" w:type="dxa"/>
          </w:tcPr>
          <w:p w14:paraId="3DDDC2CC">
            <w:pPr>
              <w:rPr>
                <w:color w:val="000000" w:themeColor="text1"/>
                <w:sz w:val="16"/>
                <w:szCs w:val="16"/>
                <w:lang w:val="de-DE"/>
                <w14:textFill>
                  <w14:solidFill>
                    <w14:schemeClr w14:val="tx1"/>
                  </w14:solidFill>
                </w14:textFill>
              </w:rPr>
            </w:pPr>
            <w:r>
              <w:rPr>
                <w:color w:val="000000" w:themeColor="text1"/>
                <w:sz w:val="16"/>
                <w:szCs w:val="16"/>
                <w:lang w:val="de-DE"/>
                <w14:textFill>
                  <w14:solidFill>
                    <w14:schemeClr w14:val="tx1"/>
                  </w14:solidFill>
                </w14:textFill>
              </w:rPr>
              <w:t xml:space="preserve">1 erg/G = 1 emu </w:t>
            </w:r>
          </w:p>
          <w:p w14:paraId="7F86EFE9">
            <w:pPr>
              <w:rPr>
                <w:color w:val="000000" w:themeColor="text1"/>
                <w:sz w:val="16"/>
                <w:szCs w:val="16"/>
                <w:lang w:val="de-DE"/>
                <w14:textFill>
                  <w14:solidFill>
                    <w14:schemeClr w14:val="tx1"/>
                  </w14:solidFill>
                </w14:textFill>
              </w:rPr>
            </w:pPr>
            <w:r>
              <w:rPr>
                <w:color w:val="000000" w:themeColor="text1"/>
                <w:sz w:val="16"/>
                <w:szCs w:val="16"/>
                <w:lang w:val="de-DE"/>
                <w14:textFill>
                  <w14:solidFill>
                    <w14:schemeClr w14:val="tx1"/>
                  </w14:solidFill>
                </w14:textFill>
              </w:rPr>
              <w:t xml:space="preserve">  </w:t>
            </w:r>
            <w:r>
              <w:rPr>
                <w:color w:val="000000" w:themeColor="text1"/>
                <w:sz w:val="16"/>
                <w:szCs w:val="16"/>
                <w14:textFill>
                  <w14:solidFill>
                    <w14:schemeClr w14:val="tx1"/>
                  </w14:solidFill>
                </w14:textFill>
              </w:rPr>
              <w:sym w:font="Symbol" w:char="F0AE"/>
            </w:r>
            <w:r>
              <w:rPr>
                <w:color w:val="000000" w:themeColor="text1"/>
                <w:sz w:val="16"/>
                <w:szCs w:val="16"/>
                <w:lang w:val="de-DE"/>
                <w14:textFill>
                  <w14:solidFill>
                    <w14:schemeClr w14:val="tx1"/>
                  </w14:solidFill>
                </w14:textFill>
              </w:rPr>
              <w:t xml:space="preserve"> 4</w:t>
            </w:r>
            <w:r>
              <w:rPr>
                <w:color w:val="000000" w:themeColor="text1"/>
                <w:sz w:val="16"/>
                <w:szCs w:val="16"/>
                <w14:textFill>
                  <w14:solidFill>
                    <w14:schemeClr w14:val="tx1"/>
                  </w14:solidFill>
                </w14:textFill>
              </w:rPr>
              <w:sym w:font="Symbol" w:char="F070"/>
            </w:r>
            <w:r>
              <w:rPr>
                <w:color w:val="000000" w:themeColor="text1"/>
                <w:sz w:val="16"/>
                <w:szCs w:val="16"/>
                <w:lang w:val="de-DE"/>
                <w14:textFill>
                  <w14:solidFill>
                    <w14:schemeClr w14:val="tx1"/>
                  </w14:solidFill>
                </w14:textFill>
              </w:rPr>
              <w:t xml:space="preserve"> </w:t>
            </w:r>
            <w:r>
              <w:rPr>
                <w:color w:val="000000" w:themeColor="text1"/>
                <w:sz w:val="16"/>
                <w:szCs w:val="16"/>
                <w14:textFill>
                  <w14:solidFill>
                    <w14:schemeClr w14:val="tx1"/>
                  </w14:solidFill>
                </w14:textFill>
              </w:rPr>
              <w:sym w:font="Symbol" w:char="F0B4"/>
            </w:r>
            <w:r>
              <w:rPr>
                <w:color w:val="000000" w:themeColor="text1"/>
                <w:sz w:val="16"/>
                <w:szCs w:val="16"/>
                <w:lang w:val="de-DE"/>
                <w14:textFill>
                  <w14:solidFill>
                    <w14:schemeClr w14:val="tx1"/>
                  </w14:solidFill>
                </w14:textFill>
              </w:rPr>
              <w:t xml:space="preserve"> 10</w:t>
            </w:r>
            <w:r>
              <w:rPr>
                <w:color w:val="000000" w:themeColor="text1"/>
                <w:sz w:val="16"/>
                <w:szCs w:val="16"/>
                <w:vertAlign w:val="superscript"/>
                <w14:textFill>
                  <w14:solidFill>
                    <w14:schemeClr w14:val="tx1"/>
                  </w14:solidFill>
                </w14:textFill>
              </w:rPr>
              <w:sym w:font="Symbol" w:char="F02D"/>
            </w:r>
            <w:r>
              <w:rPr>
                <w:color w:val="000000" w:themeColor="text1"/>
                <w:sz w:val="16"/>
                <w:szCs w:val="16"/>
                <w:vertAlign w:val="superscript"/>
                <w:lang w:val="de-DE"/>
                <w14:textFill>
                  <w14:solidFill>
                    <w14:schemeClr w14:val="tx1"/>
                  </w14:solidFill>
                </w14:textFill>
              </w:rPr>
              <w:t>10</w:t>
            </w:r>
            <w:r>
              <w:rPr>
                <w:color w:val="000000" w:themeColor="text1"/>
                <w:sz w:val="16"/>
                <w:szCs w:val="16"/>
                <w:lang w:val="de-DE"/>
                <w14:textFill>
                  <w14:solidFill>
                    <w14:schemeClr w14:val="tx1"/>
                  </w14:solidFill>
                </w14:textFill>
              </w:rPr>
              <w:t xml:space="preserve"> Wb·m</w:t>
            </w:r>
          </w:p>
        </w:tc>
      </w:tr>
      <w:tr w14:paraId="51C8E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8658334">
            <w:pPr>
              <w:rPr>
                <w:i/>
                <w:iCs/>
                <w:color w:val="000000" w:themeColor="text1"/>
                <w:sz w:val="16"/>
                <w:szCs w:val="16"/>
                <w14:textFill>
                  <w14:solidFill>
                    <w14:schemeClr w14:val="tx1"/>
                  </w14:solidFill>
                </w14:textFill>
              </w:rPr>
            </w:pPr>
            <w:r>
              <w:rPr>
                <w:i/>
                <w:iCs/>
                <w:color w:val="000000" w:themeColor="text1"/>
                <w:sz w:val="16"/>
                <w:szCs w:val="16"/>
                <w14:textFill>
                  <w14:solidFill>
                    <w14:schemeClr w14:val="tx1"/>
                  </w14:solidFill>
                </w14:textFill>
              </w:rPr>
              <w:t>J</w:t>
            </w:r>
          </w:p>
        </w:tc>
        <w:tc>
          <w:tcPr>
            <w:tcW w:w="1710" w:type="dxa"/>
          </w:tcPr>
          <w:p w14:paraId="59671C42">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magnetic polarization</w:t>
            </w:r>
          </w:p>
        </w:tc>
        <w:tc>
          <w:tcPr>
            <w:tcW w:w="2394" w:type="dxa"/>
          </w:tcPr>
          <w:p w14:paraId="63B3FCEC">
            <w:pPr>
              <w:rPr>
                <w:color w:val="000000" w:themeColor="text1"/>
                <w:sz w:val="16"/>
                <w:szCs w:val="16"/>
                <w:lang w:val="de-DE"/>
                <w14:textFill>
                  <w14:solidFill>
                    <w14:schemeClr w14:val="tx1"/>
                  </w14:solidFill>
                </w14:textFill>
              </w:rPr>
            </w:pPr>
            <w:r>
              <w:rPr>
                <w:color w:val="000000" w:themeColor="text1"/>
                <w:sz w:val="16"/>
                <w:szCs w:val="16"/>
                <w:lang w:val="de-DE"/>
                <w14:textFill>
                  <w14:solidFill>
                    <w14:schemeClr w14:val="tx1"/>
                  </w14:solidFill>
                </w14:textFill>
              </w:rPr>
              <w:t>1 erg/(G·cm</w:t>
            </w:r>
            <w:r>
              <w:rPr>
                <w:color w:val="000000" w:themeColor="text1"/>
                <w:sz w:val="16"/>
                <w:szCs w:val="16"/>
                <w:vertAlign w:val="superscript"/>
                <w:lang w:val="de-DE"/>
                <w14:textFill>
                  <w14:solidFill>
                    <w14:schemeClr w14:val="tx1"/>
                  </w14:solidFill>
                </w14:textFill>
              </w:rPr>
              <w:t>3</w:t>
            </w:r>
            <w:r>
              <w:rPr>
                <w:color w:val="000000" w:themeColor="text1"/>
                <w:sz w:val="16"/>
                <w:szCs w:val="16"/>
                <w:lang w:val="de-DE"/>
                <w14:textFill>
                  <w14:solidFill>
                    <w14:schemeClr w14:val="tx1"/>
                  </w14:solidFill>
                </w14:textFill>
              </w:rPr>
              <w:t>) = 1 emu/cm</w:t>
            </w:r>
            <w:r>
              <w:rPr>
                <w:color w:val="000000" w:themeColor="text1"/>
                <w:sz w:val="16"/>
                <w:szCs w:val="16"/>
                <w:vertAlign w:val="superscript"/>
                <w:lang w:val="de-DE"/>
                <w14:textFill>
                  <w14:solidFill>
                    <w14:schemeClr w14:val="tx1"/>
                  </w14:solidFill>
                </w14:textFill>
              </w:rPr>
              <w:t>3</w:t>
            </w:r>
          </w:p>
          <w:p w14:paraId="0AFAC7A0">
            <w:pPr>
              <w:rPr>
                <w:color w:val="000000" w:themeColor="text1"/>
                <w:sz w:val="16"/>
                <w:szCs w:val="16"/>
                <w:lang w:val="de-DE"/>
                <w14:textFill>
                  <w14:solidFill>
                    <w14:schemeClr w14:val="tx1"/>
                  </w14:solidFill>
                </w14:textFill>
              </w:rPr>
            </w:pPr>
            <w:r>
              <w:rPr>
                <w:color w:val="000000" w:themeColor="text1"/>
                <w:sz w:val="16"/>
                <w:szCs w:val="16"/>
                <w:lang w:val="de-DE"/>
                <w14:textFill>
                  <w14:solidFill>
                    <w14:schemeClr w14:val="tx1"/>
                  </w14:solidFill>
                </w14:textFill>
              </w:rPr>
              <w:t xml:space="preserve">  </w:t>
            </w:r>
            <w:r>
              <w:rPr>
                <w:color w:val="000000" w:themeColor="text1"/>
                <w:sz w:val="16"/>
                <w:szCs w:val="16"/>
                <w14:textFill>
                  <w14:solidFill>
                    <w14:schemeClr w14:val="tx1"/>
                  </w14:solidFill>
                </w14:textFill>
              </w:rPr>
              <w:sym w:font="Symbol" w:char="F0AE"/>
            </w:r>
            <w:r>
              <w:rPr>
                <w:color w:val="000000" w:themeColor="text1"/>
                <w:sz w:val="16"/>
                <w:szCs w:val="16"/>
                <w:lang w:val="de-DE"/>
                <w14:textFill>
                  <w14:solidFill>
                    <w14:schemeClr w14:val="tx1"/>
                  </w14:solidFill>
                </w14:textFill>
              </w:rPr>
              <w:t xml:space="preserve"> 4</w:t>
            </w:r>
            <w:r>
              <w:rPr>
                <w:color w:val="000000" w:themeColor="text1"/>
                <w:sz w:val="16"/>
                <w:szCs w:val="16"/>
                <w14:textFill>
                  <w14:solidFill>
                    <w14:schemeClr w14:val="tx1"/>
                  </w14:solidFill>
                </w14:textFill>
              </w:rPr>
              <w:sym w:font="Symbol" w:char="F070"/>
            </w:r>
            <w:r>
              <w:rPr>
                <w:color w:val="000000" w:themeColor="text1"/>
                <w:sz w:val="16"/>
                <w:szCs w:val="16"/>
                <w:lang w:val="de-DE"/>
                <w14:textFill>
                  <w14:solidFill>
                    <w14:schemeClr w14:val="tx1"/>
                  </w14:solidFill>
                </w14:textFill>
              </w:rPr>
              <w:t xml:space="preserve"> </w:t>
            </w:r>
            <w:r>
              <w:rPr>
                <w:color w:val="000000" w:themeColor="text1"/>
                <w:sz w:val="16"/>
                <w:szCs w:val="16"/>
                <w14:textFill>
                  <w14:solidFill>
                    <w14:schemeClr w14:val="tx1"/>
                  </w14:solidFill>
                </w14:textFill>
              </w:rPr>
              <w:sym w:font="Symbol" w:char="F0B4"/>
            </w:r>
            <w:r>
              <w:rPr>
                <w:color w:val="000000" w:themeColor="text1"/>
                <w:sz w:val="16"/>
                <w:szCs w:val="16"/>
                <w:lang w:val="de-DE"/>
                <w14:textFill>
                  <w14:solidFill>
                    <w14:schemeClr w14:val="tx1"/>
                  </w14:solidFill>
                </w14:textFill>
              </w:rPr>
              <w:t xml:space="preserve"> 10</w:t>
            </w:r>
            <w:r>
              <w:rPr>
                <w:color w:val="000000" w:themeColor="text1"/>
                <w:sz w:val="16"/>
                <w:szCs w:val="16"/>
                <w:vertAlign w:val="superscript"/>
                <w14:textFill>
                  <w14:solidFill>
                    <w14:schemeClr w14:val="tx1"/>
                  </w14:solidFill>
                </w14:textFill>
              </w:rPr>
              <w:sym w:font="Symbol" w:char="F02D"/>
            </w:r>
            <w:r>
              <w:rPr>
                <w:color w:val="000000" w:themeColor="text1"/>
                <w:sz w:val="16"/>
                <w:szCs w:val="16"/>
                <w:vertAlign w:val="superscript"/>
                <w:lang w:val="de-DE"/>
                <w14:textFill>
                  <w14:solidFill>
                    <w14:schemeClr w14:val="tx1"/>
                  </w14:solidFill>
                </w14:textFill>
              </w:rPr>
              <w:t>4</w:t>
            </w:r>
            <w:r>
              <w:rPr>
                <w:color w:val="000000" w:themeColor="text1"/>
                <w:sz w:val="16"/>
                <w:szCs w:val="16"/>
                <w:lang w:val="de-DE"/>
                <w14:textFill>
                  <w14:solidFill>
                    <w14:schemeClr w14:val="tx1"/>
                  </w14:solidFill>
                </w14:textFill>
              </w:rPr>
              <w:t xml:space="preserve"> T</w:t>
            </w:r>
          </w:p>
        </w:tc>
      </w:tr>
      <w:tr w14:paraId="359F1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3A2F864">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sym w:font="Symbol" w:char="F063"/>
            </w:r>
            <w:r>
              <w:rPr>
                <w:i/>
                <w:iCs/>
                <w:color w:val="000000" w:themeColor="text1"/>
                <w:sz w:val="16"/>
                <w:szCs w:val="16"/>
                <w14:textFill>
                  <w14:solidFill>
                    <w14:schemeClr w14:val="tx1"/>
                  </w14:solidFill>
                </w14:textFill>
              </w:rPr>
              <w:t>,</w:t>
            </w:r>
            <w:r>
              <w:rPr>
                <w:color w:val="000000" w:themeColor="text1"/>
                <w:sz w:val="16"/>
                <w:szCs w:val="16"/>
                <w14:textFill>
                  <w14:solidFill>
                    <w14:schemeClr w14:val="tx1"/>
                  </w14:solidFill>
                </w14:textFill>
              </w:rPr>
              <w:t xml:space="preserve"> </w:t>
            </w:r>
            <w:r>
              <w:rPr>
                <w:color w:val="000000" w:themeColor="text1"/>
                <w:sz w:val="16"/>
                <w:szCs w:val="16"/>
                <w14:textFill>
                  <w14:solidFill>
                    <w14:schemeClr w14:val="tx1"/>
                  </w14:solidFill>
                </w14:textFill>
              </w:rPr>
              <w:sym w:font="Symbol" w:char="F06B"/>
            </w:r>
          </w:p>
        </w:tc>
        <w:tc>
          <w:tcPr>
            <w:tcW w:w="1710" w:type="dxa"/>
          </w:tcPr>
          <w:p w14:paraId="3E1FD06C">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susceptibility</w:t>
            </w:r>
          </w:p>
        </w:tc>
        <w:tc>
          <w:tcPr>
            <w:tcW w:w="2394" w:type="dxa"/>
          </w:tcPr>
          <w:p w14:paraId="658B8CA2">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 xml:space="preserve">1 </w:t>
            </w:r>
            <w:r>
              <w:rPr>
                <w:color w:val="000000" w:themeColor="text1"/>
                <w:sz w:val="16"/>
                <w:szCs w:val="16"/>
                <w14:textFill>
                  <w14:solidFill>
                    <w14:schemeClr w14:val="tx1"/>
                  </w14:solidFill>
                </w14:textFill>
              </w:rPr>
              <w:sym w:font="Symbol" w:char="F0AE"/>
            </w:r>
            <w:r>
              <w:rPr>
                <w:color w:val="000000" w:themeColor="text1"/>
                <w:sz w:val="16"/>
                <w:szCs w:val="16"/>
                <w14:textFill>
                  <w14:solidFill>
                    <w14:schemeClr w14:val="tx1"/>
                  </w14:solidFill>
                </w14:textFill>
              </w:rPr>
              <w:t xml:space="preserve"> 4</w:t>
            </w:r>
            <w:r>
              <w:rPr>
                <w:color w:val="000000" w:themeColor="text1"/>
                <w:sz w:val="16"/>
                <w:szCs w:val="16"/>
                <w14:textFill>
                  <w14:solidFill>
                    <w14:schemeClr w14:val="tx1"/>
                  </w14:solidFill>
                </w14:textFill>
              </w:rPr>
              <w:sym w:font="Symbol" w:char="F070"/>
            </w:r>
          </w:p>
        </w:tc>
      </w:tr>
      <w:tr w14:paraId="4F9D3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2F719F1">
            <w:pPr>
              <w:rPr>
                <w:color w:val="000000" w:themeColor="text1"/>
                <w:sz w:val="16"/>
                <w:szCs w:val="16"/>
                <w:vertAlign w:val="subscript"/>
                <w14:textFill>
                  <w14:solidFill>
                    <w14:schemeClr w14:val="tx1"/>
                  </w14:solidFill>
                </w14:textFill>
              </w:rPr>
            </w:pPr>
            <w:r>
              <w:rPr>
                <w:color w:val="000000" w:themeColor="text1"/>
                <w:sz w:val="16"/>
                <w:szCs w:val="16"/>
                <w14:textFill>
                  <w14:solidFill>
                    <w14:schemeClr w14:val="tx1"/>
                  </w14:solidFill>
                </w14:textFill>
              </w:rPr>
              <w:sym w:font="Symbol" w:char="F063"/>
            </w:r>
            <w:r>
              <w:rPr>
                <w:color w:val="000000" w:themeColor="text1"/>
                <w:sz w:val="16"/>
                <w:szCs w:val="16"/>
                <w:vertAlign w:val="subscript"/>
                <w14:textFill>
                  <w14:solidFill>
                    <w14:schemeClr w14:val="tx1"/>
                  </w14:solidFill>
                </w14:textFill>
              </w:rPr>
              <w:sym w:font="Symbol" w:char="F072"/>
            </w:r>
          </w:p>
        </w:tc>
        <w:tc>
          <w:tcPr>
            <w:tcW w:w="1710" w:type="dxa"/>
          </w:tcPr>
          <w:p w14:paraId="4CAB0F50">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mass susceptibility</w:t>
            </w:r>
          </w:p>
        </w:tc>
        <w:tc>
          <w:tcPr>
            <w:tcW w:w="2394" w:type="dxa"/>
          </w:tcPr>
          <w:p w14:paraId="597744F4">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1 cm</w:t>
            </w:r>
            <w:r>
              <w:rPr>
                <w:color w:val="000000" w:themeColor="text1"/>
                <w:sz w:val="16"/>
                <w:szCs w:val="16"/>
                <w:vertAlign w:val="superscript"/>
                <w14:textFill>
                  <w14:solidFill>
                    <w14:schemeClr w14:val="tx1"/>
                  </w14:solidFill>
                </w14:textFill>
              </w:rPr>
              <w:t>3</w:t>
            </w:r>
            <w:r>
              <w:rPr>
                <w:color w:val="000000" w:themeColor="text1"/>
                <w:sz w:val="16"/>
                <w:szCs w:val="16"/>
                <w14:textFill>
                  <w14:solidFill>
                    <w14:schemeClr w14:val="tx1"/>
                  </w14:solidFill>
                </w14:textFill>
              </w:rPr>
              <w:t xml:space="preserve">/g </w:t>
            </w:r>
            <w:r>
              <w:rPr>
                <w:color w:val="000000" w:themeColor="text1"/>
                <w:sz w:val="16"/>
                <w:szCs w:val="16"/>
                <w14:textFill>
                  <w14:solidFill>
                    <w14:schemeClr w14:val="tx1"/>
                  </w14:solidFill>
                </w14:textFill>
              </w:rPr>
              <w:sym w:font="Symbol" w:char="F0AE"/>
            </w:r>
            <w:r>
              <w:rPr>
                <w:color w:val="000000" w:themeColor="text1"/>
                <w:sz w:val="16"/>
                <w:szCs w:val="16"/>
                <w14:textFill>
                  <w14:solidFill>
                    <w14:schemeClr w14:val="tx1"/>
                  </w14:solidFill>
                </w14:textFill>
              </w:rPr>
              <w:t xml:space="preserve"> 4</w:t>
            </w:r>
            <w:r>
              <w:rPr>
                <w:color w:val="000000" w:themeColor="text1"/>
                <w:sz w:val="16"/>
                <w:szCs w:val="16"/>
                <w14:textFill>
                  <w14:solidFill>
                    <w14:schemeClr w14:val="tx1"/>
                  </w14:solidFill>
                </w14:textFill>
              </w:rPr>
              <w:sym w:font="Symbol" w:char="F070"/>
            </w:r>
            <w:r>
              <w:rPr>
                <w:color w:val="000000" w:themeColor="text1"/>
                <w:sz w:val="16"/>
                <w:szCs w:val="16"/>
                <w14:textFill>
                  <w14:solidFill>
                    <w14:schemeClr w14:val="tx1"/>
                  </w14:solidFill>
                </w14:textFill>
              </w:rPr>
              <w:t xml:space="preserve"> </w:t>
            </w:r>
            <w:r>
              <w:rPr>
                <w:color w:val="000000" w:themeColor="text1"/>
                <w:sz w:val="16"/>
                <w:szCs w:val="16"/>
                <w14:textFill>
                  <w14:solidFill>
                    <w14:schemeClr w14:val="tx1"/>
                  </w14:solidFill>
                </w14:textFill>
              </w:rPr>
              <w:sym w:font="Symbol" w:char="F0B4"/>
            </w:r>
            <w:r>
              <w:rPr>
                <w:color w:val="000000" w:themeColor="text1"/>
                <w:sz w:val="16"/>
                <w:szCs w:val="16"/>
                <w14:textFill>
                  <w14:solidFill>
                    <w14:schemeClr w14:val="tx1"/>
                  </w14:solidFill>
                </w14:textFill>
              </w:rPr>
              <w:t xml:space="preserve"> 10</w:t>
            </w:r>
            <w:r>
              <w:rPr>
                <w:color w:val="000000" w:themeColor="text1"/>
                <w:sz w:val="16"/>
                <w:szCs w:val="16"/>
                <w:vertAlign w:val="superscript"/>
                <w14:textFill>
                  <w14:solidFill>
                    <w14:schemeClr w14:val="tx1"/>
                  </w14:solidFill>
                </w14:textFill>
              </w:rPr>
              <w:sym w:font="Symbol" w:char="F02D"/>
            </w:r>
            <w:r>
              <w:rPr>
                <w:color w:val="000000" w:themeColor="text1"/>
                <w:sz w:val="16"/>
                <w:szCs w:val="16"/>
                <w:vertAlign w:val="superscript"/>
                <w14:textFill>
                  <w14:solidFill>
                    <w14:schemeClr w14:val="tx1"/>
                  </w14:solidFill>
                </w14:textFill>
              </w:rPr>
              <w:t>3</w:t>
            </w:r>
            <w:r>
              <w:rPr>
                <w:color w:val="000000" w:themeColor="text1"/>
                <w:sz w:val="16"/>
                <w:szCs w:val="16"/>
                <w14:textFill>
                  <w14:solidFill>
                    <w14:schemeClr w14:val="tx1"/>
                  </w14:solidFill>
                </w14:textFill>
              </w:rPr>
              <w:t xml:space="preserve"> m</w:t>
            </w:r>
            <w:r>
              <w:rPr>
                <w:color w:val="000000" w:themeColor="text1"/>
                <w:sz w:val="16"/>
                <w:szCs w:val="16"/>
                <w:vertAlign w:val="superscript"/>
                <w14:textFill>
                  <w14:solidFill>
                    <w14:schemeClr w14:val="tx1"/>
                  </w14:solidFill>
                </w14:textFill>
              </w:rPr>
              <w:t>3</w:t>
            </w:r>
            <w:r>
              <w:rPr>
                <w:color w:val="000000" w:themeColor="text1"/>
                <w:sz w:val="16"/>
                <w:szCs w:val="16"/>
                <w14:textFill>
                  <w14:solidFill>
                    <w14:schemeClr w14:val="tx1"/>
                  </w14:solidFill>
                </w14:textFill>
              </w:rPr>
              <w:t>/kg</w:t>
            </w:r>
          </w:p>
        </w:tc>
      </w:tr>
      <w:tr w14:paraId="122E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E3ED176">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sym w:font="Symbol" w:char="F06D"/>
            </w:r>
          </w:p>
        </w:tc>
        <w:tc>
          <w:tcPr>
            <w:tcW w:w="1710" w:type="dxa"/>
          </w:tcPr>
          <w:p w14:paraId="2AF677BB">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permeability</w:t>
            </w:r>
          </w:p>
        </w:tc>
        <w:tc>
          <w:tcPr>
            <w:tcW w:w="2394" w:type="dxa"/>
          </w:tcPr>
          <w:p w14:paraId="4C5C0EEF">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 xml:space="preserve">1 </w:t>
            </w:r>
            <w:r>
              <w:rPr>
                <w:color w:val="000000" w:themeColor="text1"/>
                <w:sz w:val="16"/>
                <w:szCs w:val="16"/>
                <w14:textFill>
                  <w14:solidFill>
                    <w14:schemeClr w14:val="tx1"/>
                  </w14:solidFill>
                </w14:textFill>
              </w:rPr>
              <w:sym w:font="Symbol" w:char="F0AE"/>
            </w:r>
            <w:r>
              <w:rPr>
                <w:color w:val="000000" w:themeColor="text1"/>
                <w:sz w:val="16"/>
                <w:szCs w:val="16"/>
                <w14:textFill>
                  <w14:solidFill>
                    <w14:schemeClr w14:val="tx1"/>
                  </w14:solidFill>
                </w14:textFill>
              </w:rPr>
              <w:t xml:space="preserve"> 4</w:t>
            </w:r>
            <w:r>
              <w:rPr>
                <w:color w:val="000000" w:themeColor="text1"/>
                <w:sz w:val="16"/>
                <w:szCs w:val="16"/>
                <w14:textFill>
                  <w14:solidFill>
                    <w14:schemeClr w14:val="tx1"/>
                  </w14:solidFill>
                </w14:textFill>
              </w:rPr>
              <w:sym w:font="Symbol" w:char="F070"/>
            </w:r>
            <w:r>
              <w:rPr>
                <w:color w:val="000000" w:themeColor="text1"/>
                <w:sz w:val="16"/>
                <w:szCs w:val="16"/>
                <w14:textFill>
                  <w14:solidFill>
                    <w14:schemeClr w14:val="tx1"/>
                  </w14:solidFill>
                </w14:textFill>
              </w:rPr>
              <w:t xml:space="preserve"> </w:t>
            </w:r>
            <w:r>
              <w:rPr>
                <w:color w:val="000000" w:themeColor="text1"/>
                <w:sz w:val="16"/>
                <w:szCs w:val="16"/>
                <w14:textFill>
                  <w14:solidFill>
                    <w14:schemeClr w14:val="tx1"/>
                  </w14:solidFill>
                </w14:textFill>
              </w:rPr>
              <w:sym w:font="Symbol" w:char="F0B4"/>
            </w:r>
            <w:r>
              <w:rPr>
                <w:color w:val="000000" w:themeColor="text1"/>
                <w:sz w:val="16"/>
                <w:szCs w:val="16"/>
                <w14:textFill>
                  <w14:solidFill>
                    <w14:schemeClr w14:val="tx1"/>
                  </w14:solidFill>
                </w14:textFill>
              </w:rPr>
              <w:t xml:space="preserve"> 10</w:t>
            </w:r>
            <w:r>
              <w:rPr>
                <w:color w:val="000000" w:themeColor="text1"/>
                <w:sz w:val="16"/>
                <w:szCs w:val="16"/>
                <w:vertAlign w:val="superscript"/>
                <w14:textFill>
                  <w14:solidFill>
                    <w14:schemeClr w14:val="tx1"/>
                  </w14:solidFill>
                </w14:textFill>
              </w:rPr>
              <w:sym w:font="Symbol" w:char="F02D"/>
            </w:r>
            <w:r>
              <w:rPr>
                <w:color w:val="000000" w:themeColor="text1"/>
                <w:sz w:val="16"/>
                <w:szCs w:val="16"/>
                <w:vertAlign w:val="superscript"/>
                <w14:textFill>
                  <w14:solidFill>
                    <w14:schemeClr w14:val="tx1"/>
                  </w14:solidFill>
                </w14:textFill>
              </w:rPr>
              <w:t>7</w:t>
            </w:r>
            <w:r>
              <w:rPr>
                <w:color w:val="000000" w:themeColor="text1"/>
                <w:sz w:val="16"/>
                <w:szCs w:val="16"/>
                <w14:textFill>
                  <w14:solidFill>
                    <w14:schemeClr w14:val="tx1"/>
                  </w14:solidFill>
                </w14:textFill>
              </w:rPr>
              <w:t xml:space="preserve"> H/m </w:t>
            </w:r>
          </w:p>
          <w:p w14:paraId="02B5C40A">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 xml:space="preserve">  = 4</w:t>
            </w:r>
            <w:r>
              <w:rPr>
                <w:color w:val="000000" w:themeColor="text1"/>
                <w:sz w:val="16"/>
                <w:szCs w:val="16"/>
                <w14:textFill>
                  <w14:solidFill>
                    <w14:schemeClr w14:val="tx1"/>
                  </w14:solidFill>
                </w14:textFill>
              </w:rPr>
              <w:sym w:font="Symbol" w:char="F070"/>
            </w:r>
            <w:r>
              <w:rPr>
                <w:color w:val="000000" w:themeColor="text1"/>
                <w:sz w:val="16"/>
                <w:szCs w:val="16"/>
                <w14:textFill>
                  <w14:solidFill>
                    <w14:schemeClr w14:val="tx1"/>
                  </w14:solidFill>
                </w14:textFill>
              </w:rPr>
              <w:t xml:space="preserve"> </w:t>
            </w:r>
            <w:r>
              <w:rPr>
                <w:color w:val="000000" w:themeColor="text1"/>
                <w:sz w:val="16"/>
                <w:szCs w:val="16"/>
                <w14:textFill>
                  <w14:solidFill>
                    <w14:schemeClr w14:val="tx1"/>
                  </w14:solidFill>
                </w14:textFill>
              </w:rPr>
              <w:sym w:font="Symbol" w:char="F0B4"/>
            </w:r>
            <w:r>
              <w:rPr>
                <w:color w:val="000000" w:themeColor="text1"/>
                <w:sz w:val="16"/>
                <w:szCs w:val="16"/>
                <w14:textFill>
                  <w14:solidFill>
                    <w14:schemeClr w14:val="tx1"/>
                  </w14:solidFill>
                </w14:textFill>
              </w:rPr>
              <w:t xml:space="preserve"> 10</w:t>
            </w:r>
            <w:r>
              <w:rPr>
                <w:color w:val="000000" w:themeColor="text1"/>
                <w:sz w:val="16"/>
                <w:szCs w:val="16"/>
                <w:vertAlign w:val="superscript"/>
                <w14:textFill>
                  <w14:solidFill>
                    <w14:schemeClr w14:val="tx1"/>
                  </w14:solidFill>
                </w14:textFill>
              </w:rPr>
              <w:sym w:font="Symbol" w:char="F02D"/>
            </w:r>
            <w:r>
              <w:rPr>
                <w:color w:val="000000" w:themeColor="text1"/>
                <w:sz w:val="16"/>
                <w:szCs w:val="16"/>
                <w:vertAlign w:val="superscript"/>
                <w14:textFill>
                  <w14:solidFill>
                    <w14:schemeClr w14:val="tx1"/>
                  </w14:solidFill>
                </w14:textFill>
              </w:rPr>
              <w:t>7</w:t>
            </w:r>
            <w:r>
              <w:rPr>
                <w:color w:val="000000" w:themeColor="text1"/>
                <w:sz w:val="16"/>
                <w:szCs w:val="16"/>
                <w14:textFill>
                  <w14:solidFill>
                    <w14:schemeClr w14:val="tx1"/>
                  </w14:solidFill>
                </w14:textFill>
              </w:rPr>
              <w:t xml:space="preserve"> Wb/(A·m)</w:t>
            </w:r>
          </w:p>
        </w:tc>
      </w:tr>
      <w:tr w14:paraId="6F12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18FCF16F">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sym w:font="Symbol" w:char="F06D"/>
            </w:r>
            <w:r>
              <w:rPr>
                <w:color w:val="000000" w:themeColor="text1"/>
                <w:sz w:val="16"/>
                <w:szCs w:val="16"/>
                <w:vertAlign w:val="subscript"/>
                <w14:textFill>
                  <w14:solidFill>
                    <w14:schemeClr w14:val="tx1"/>
                  </w14:solidFill>
                </w14:textFill>
              </w:rPr>
              <w:t>r</w:t>
            </w:r>
          </w:p>
        </w:tc>
        <w:tc>
          <w:tcPr>
            <w:tcW w:w="1710" w:type="dxa"/>
          </w:tcPr>
          <w:p w14:paraId="3AC6FF0C">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relative permeability</w:t>
            </w:r>
          </w:p>
        </w:tc>
        <w:tc>
          <w:tcPr>
            <w:tcW w:w="2394" w:type="dxa"/>
          </w:tcPr>
          <w:p w14:paraId="7F335363">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sym w:font="Symbol" w:char="F06D"/>
            </w:r>
            <w:r>
              <w:rPr>
                <w:color w:val="000000" w:themeColor="text1"/>
                <w:sz w:val="16"/>
                <w:szCs w:val="16"/>
                <w14:textFill>
                  <w14:solidFill>
                    <w14:schemeClr w14:val="tx1"/>
                  </w14:solidFill>
                </w14:textFill>
              </w:rPr>
              <w:t xml:space="preserve"> </w:t>
            </w:r>
            <w:r>
              <w:rPr>
                <w:color w:val="000000" w:themeColor="text1"/>
                <w:sz w:val="16"/>
                <w:szCs w:val="16"/>
                <w14:textFill>
                  <w14:solidFill>
                    <w14:schemeClr w14:val="tx1"/>
                  </w14:solidFill>
                </w14:textFill>
              </w:rPr>
              <w:sym w:font="Symbol" w:char="F0AE"/>
            </w:r>
            <w:r>
              <w:rPr>
                <w:color w:val="000000" w:themeColor="text1"/>
                <w:sz w:val="16"/>
                <w:szCs w:val="16"/>
                <w14:textFill>
                  <w14:solidFill>
                    <w14:schemeClr w14:val="tx1"/>
                  </w14:solidFill>
                </w14:textFill>
              </w:rPr>
              <w:t xml:space="preserve"> </w:t>
            </w:r>
            <w:r>
              <w:rPr>
                <w:color w:val="000000" w:themeColor="text1"/>
                <w:sz w:val="16"/>
                <w:szCs w:val="16"/>
                <w14:textFill>
                  <w14:solidFill>
                    <w14:schemeClr w14:val="tx1"/>
                  </w14:solidFill>
                </w14:textFill>
              </w:rPr>
              <w:sym w:font="Symbol" w:char="F06D"/>
            </w:r>
            <w:r>
              <w:rPr>
                <w:color w:val="000000" w:themeColor="text1"/>
                <w:sz w:val="16"/>
                <w:szCs w:val="16"/>
                <w:vertAlign w:val="subscript"/>
                <w14:textFill>
                  <w14:solidFill>
                    <w14:schemeClr w14:val="tx1"/>
                  </w14:solidFill>
                </w14:textFill>
              </w:rPr>
              <w:t>r</w:t>
            </w:r>
          </w:p>
        </w:tc>
      </w:tr>
      <w:tr w14:paraId="6874C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398EE32">
            <w:pPr>
              <w:rPr>
                <w:i/>
                <w:iCs/>
                <w:color w:val="000000" w:themeColor="text1"/>
                <w:sz w:val="16"/>
                <w:szCs w:val="16"/>
                <w14:textFill>
                  <w14:solidFill>
                    <w14:schemeClr w14:val="tx1"/>
                  </w14:solidFill>
                </w14:textFill>
              </w:rPr>
            </w:pPr>
            <w:r>
              <w:rPr>
                <w:i/>
                <w:iCs/>
                <w:color w:val="000000" w:themeColor="text1"/>
                <w:sz w:val="16"/>
                <w:szCs w:val="16"/>
                <w14:textFill>
                  <w14:solidFill>
                    <w14:schemeClr w14:val="tx1"/>
                  </w14:solidFill>
                </w14:textFill>
              </w:rPr>
              <w:t>w, W</w:t>
            </w:r>
          </w:p>
        </w:tc>
        <w:tc>
          <w:tcPr>
            <w:tcW w:w="1710" w:type="dxa"/>
          </w:tcPr>
          <w:p w14:paraId="5CF6DCFD">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energy density</w:t>
            </w:r>
          </w:p>
        </w:tc>
        <w:tc>
          <w:tcPr>
            <w:tcW w:w="2394" w:type="dxa"/>
          </w:tcPr>
          <w:p w14:paraId="0588B42D">
            <w:pPr>
              <w:rPr>
                <w:color w:val="000000" w:themeColor="text1"/>
                <w:sz w:val="16"/>
                <w:szCs w:val="16"/>
                <w:vertAlign w:val="superscript"/>
                <w14:textFill>
                  <w14:solidFill>
                    <w14:schemeClr w14:val="tx1"/>
                  </w14:solidFill>
                </w14:textFill>
              </w:rPr>
            </w:pPr>
            <w:r>
              <w:rPr>
                <w:color w:val="000000" w:themeColor="text1"/>
                <w:sz w:val="16"/>
                <w:szCs w:val="16"/>
                <w14:textFill>
                  <w14:solidFill>
                    <w14:schemeClr w14:val="tx1"/>
                  </w14:solidFill>
                </w14:textFill>
              </w:rPr>
              <w:t>1 erg/cm</w:t>
            </w:r>
            <w:r>
              <w:rPr>
                <w:color w:val="000000" w:themeColor="text1"/>
                <w:sz w:val="16"/>
                <w:szCs w:val="16"/>
                <w:vertAlign w:val="superscript"/>
                <w14:textFill>
                  <w14:solidFill>
                    <w14:schemeClr w14:val="tx1"/>
                  </w14:solidFill>
                </w14:textFill>
              </w:rPr>
              <w:t>3</w:t>
            </w:r>
            <w:r>
              <w:rPr>
                <w:color w:val="000000" w:themeColor="text1"/>
                <w:sz w:val="16"/>
                <w:szCs w:val="16"/>
                <w14:textFill>
                  <w14:solidFill>
                    <w14:schemeClr w14:val="tx1"/>
                  </w14:solidFill>
                </w14:textFill>
              </w:rPr>
              <w:t xml:space="preserve"> </w:t>
            </w:r>
            <w:r>
              <w:rPr>
                <w:color w:val="000000" w:themeColor="text1"/>
                <w:sz w:val="16"/>
                <w:szCs w:val="16"/>
                <w14:textFill>
                  <w14:solidFill>
                    <w14:schemeClr w14:val="tx1"/>
                  </w14:solidFill>
                </w14:textFill>
              </w:rPr>
              <w:sym w:font="Symbol" w:char="F0AE"/>
            </w:r>
            <w:r>
              <w:rPr>
                <w:color w:val="000000" w:themeColor="text1"/>
                <w:sz w:val="16"/>
                <w:szCs w:val="16"/>
                <w14:textFill>
                  <w14:solidFill>
                    <w14:schemeClr w14:val="tx1"/>
                  </w14:solidFill>
                </w14:textFill>
              </w:rPr>
              <w:t xml:space="preserve"> 10</w:t>
            </w:r>
            <w:r>
              <w:rPr>
                <w:color w:val="000000" w:themeColor="text1"/>
                <w:sz w:val="16"/>
                <w:szCs w:val="16"/>
                <w:vertAlign w:val="superscript"/>
                <w14:textFill>
                  <w14:solidFill>
                    <w14:schemeClr w14:val="tx1"/>
                  </w14:solidFill>
                </w14:textFill>
              </w:rPr>
              <w:sym w:font="Symbol" w:char="F02D"/>
            </w:r>
            <w:r>
              <w:rPr>
                <w:color w:val="000000" w:themeColor="text1"/>
                <w:sz w:val="16"/>
                <w:szCs w:val="16"/>
                <w:vertAlign w:val="superscript"/>
                <w14:textFill>
                  <w14:solidFill>
                    <w14:schemeClr w14:val="tx1"/>
                  </w14:solidFill>
                </w14:textFill>
              </w:rPr>
              <w:t>1</w:t>
            </w:r>
            <w:r>
              <w:rPr>
                <w:color w:val="000000" w:themeColor="text1"/>
                <w:sz w:val="16"/>
                <w:szCs w:val="16"/>
                <w14:textFill>
                  <w14:solidFill>
                    <w14:schemeClr w14:val="tx1"/>
                  </w14:solidFill>
                </w14:textFill>
              </w:rPr>
              <w:t xml:space="preserve"> J/m</w:t>
            </w:r>
            <w:r>
              <w:rPr>
                <w:color w:val="000000" w:themeColor="text1"/>
                <w:sz w:val="16"/>
                <w:szCs w:val="16"/>
                <w:vertAlign w:val="superscript"/>
                <w14:textFill>
                  <w14:solidFill>
                    <w14:schemeClr w14:val="tx1"/>
                  </w14:solidFill>
                </w14:textFill>
              </w:rPr>
              <w:t>3</w:t>
            </w:r>
          </w:p>
        </w:tc>
      </w:tr>
      <w:tr w14:paraId="42091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720" w:type="dxa"/>
          </w:tcPr>
          <w:p w14:paraId="6261B22C">
            <w:pPr>
              <w:rPr>
                <w:i/>
                <w:iCs/>
                <w:color w:val="000000" w:themeColor="text1"/>
                <w:sz w:val="16"/>
                <w:szCs w:val="16"/>
                <w14:textFill>
                  <w14:solidFill>
                    <w14:schemeClr w14:val="tx1"/>
                  </w14:solidFill>
                </w14:textFill>
              </w:rPr>
            </w:pPr>
            <w:r>
              <w:rPr>
                <w:i/>
                <w:iCs/>
                <w:color w:val="000000" w:themeColor="text1"/>
                <w:sz w:val="16"/>
                <w:szCs w:val="16"/>
                <w14:textFill>
                  <w14:solidFill>
                    <w14:schemeClr w14:val="tx1"/>
                  </w14:solidFill>
                </w14:textFill>
              </w:rPr>
              <w:t>N, D</w:t>
            </w:r>
          </w:p>
        </w:tc>
        <w:tc>
          <w:tcPr>
            <w:tcW w:w="1710" w:type="dxa"/>
          </w:tcPr>
          <w:p w14:paraId="58FD2650">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demagnetizing factor</w:t>
            </w:r>
          </w:p>
        </w:tc>
        <w:tc>
          <w:tcPr>
            <w:tcW w:w="2394" w:type="dxa"/>
          </w:tcPr>
          <w:p w14:paraId="02B3AD39">
            <w:pPr>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 xml:space="preserve">1 </w:t>
            </w:r>
            <w:r>
              <w:rPr>
                <w:color w:val="000000" w:themeColor="text1"/>
                <w:sz w:val="16"/>
                <w:szCs w:val="16"/>
                <w14:textFill>
                  <w14:solidFill>
                    <w14:schemeClr w14:val="tx1"/>
                  </w14:solidFill>
                </w14:textFill>
              </w:rPr>
              <w:sym w:font="Symbol" w:char="F0AE"/>
            </w:r>
            <w:r>
              <w:rPr>
                <w:color w:val="000000" w:themeColor="text1"/>
                <w:sz w:val="16"/>
                <w:szCs w:val="16"/>
                <w14:textFill>
                  <w14:solidFill>
                    <w14:schemeClr w14:val="tx1"/>
                  </w14:solidFill>
                </w14:textFill>
              </w:rPr>
              <w:t xml:space="preserve"> 1/(4</w:t>
            </w:r>
            <w:r>
              <w:rPr>
                <w:color w:val="000000" w:themeColor="text1"/>
                <w:sz w:val="16"/>
                <w:szCs w:val="16"/>
                <w14:textFill>
                  <w14:solidFill>
                    <w14:schemeClr w14:val="tx1"/>
                  </w14:solidFill>
                </w14:textFill>
              </w:rPr>
              <w:sym w:font="Symbol" w:char="F070"/>
            </w:r>
            <w:r>
              <w:rPr>
                <w:color w:val="000000" w:themeColor="text1"/>
                <w:sz w:val="16"/>
                <w:szCs w:val="16"/>
                <w14:textFill>
                  <w14:solidFill>
                    <w14:schemeClr w14:val="tx1"/>
                  </w14:solidFill>
                </w14:textFill>
              </w:rPr>
              <w:t>)</w:t>
            </w:r>
          </w:p>
        </w:tc>
      </w:tr>
    </w:tbl>
    <w:p w14:paraId="71807B1C">
      <w:pPr>
        <w:pStyle w:val="19"/>
        <w:rPr>
          <w:color w:val="000000" w:themeColor="text1"/>
          <w:lang w:val="zh-CN" w:eastAsia="zh-CN"/>
          <w14:textFill>
            <w14:solidFill>
              <w14:schemeClr w14:val="tx1"/>
            </w14:solidFill>
          </w14:textFill>
        </w:rPr>
      </w:pPr>
      <w:r>
        <w:rPr>
          <w:color w:val="000000" w:themeColor="text1"/>
          <w14:textFill>
            <w14:solidFill>
              <w14:schemeClr w14:val="tx1"/>
            </w14:solidFill>
          </w14:textFill>
        </w:rPr>
        <w:t xml:space="preserve">Vertical lines are optional in tables. Statements that serve as captions for the entire table do not need footnote letters. </w:t>
      </w:r>
    </w:p>
    <w:p w14:paraId="3844B900">
      <w:pPr>
        <w:pStyle w:val="30"/>
        <w:rPr>
          <w:color w:val="000000" w:themeColor="text1"/>
          <w14:textFill>
            <w14:solidFill>
              <w14:schemeClr w14:val="tx1"/>
            </w14:solidFill>
          </w14:textFill>
        </w:rPr>
      </w:pPr>
    </w:p>
    <w:p w14:paraId="7C9B518E">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Color printing of figures is available, but is billed to the authors (approximately $1300, depending on the number of figures and number of pages containing color). Include a note with your final paper indicating that you request color printing. </w:t>
      </w:r>
      <w:r>
        <w:rPr>
          <w:b/>
          <w:bCs/>
          <w:color w:val="000000" w:themeColor="text1"/>
          <w14:textFill>
            <w14:solidFill>
              <w14:schemeClr w14:val="tx1"/>
            </w14:solidFill>
          </w14:textFill>
        </w:rPr>
        <w:t>Do not use color unless it is necessary for the proper interpretation of your figures.</w:t>
      </w:r>
      <w:r>
        <w:rPr>
          <w:color w:val="000000" w:themeColor="text1"/>
          <w14:textFill>
            <w14:solidFill>
              <w14:schemeClr w14:val="tx1"/>
            </w14:solidFill>
          </w14:textFill>
        </w:rPr>
        <w:t xml:space="preserve"> If you want reprints of your color article, the reprint order should be submitted promptly. There is an additional charge of $81 per 100 for color reprints.</w:t>
      </w:r>
    </w:p>
    <w:p w14:paraId="6D94B2B0">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Figure axis labels are often a source of confusion. Use words rather than symbols. As an example, write the quantity “Magnetization,” or “Magnetization </w:t>
      </w:r>
      <w:r>
        <w:rPr>
          <w:i/>
          <w:iCs/>
          <w:color w:val="000000" w:themeColor="text1"/>
          <w14:textFill>
            <w14:solidFill>
              <w14:schemeClr w14:val="tx1"/>
            </w14:solidFill>
          </w14:textFill>
        </w:rPr>
        <w:t>M</w:t>
      </w:r>
      <w:r>
        <w:rPr>
          <w:color w:val="000000" w:themeColor="text1"/>
          <w14:textFill>
            <w14:solidFill>
              <w14:schemeClr w14:val="tx1"/>
            </w14:solidFill>
          </w14:textFill>
        </w:rPr>
        <w:t>,” not just “</w:t>
      </w:r>
      <w:r>
        <w:rPr>
          <w:i/>
          <w:iCs/>
          <w:color w:val="000000" w:themeColor="text1"/>
          <w14:textFill>
            <w14:solidFill>
              <w14:schemeClr w14:val="tx1"/>
            </w14:solidFill>
          </w14:textFill>
        </w:rPr>
        <w:t>M</w:t>
      </w:r>
      <w:r>
        <w:rPr>
          <w:color w:val="000000" w:themeColor="text1"/>
          <w14:textFill>
            <w14:solidFill>
              <w14:schemeClr w14:val="tx1"/>
            </w14:solidFill>
          </w14:textFill>
        </w:rPr>
        <w:t>.” Put units in parentheses. Do not label axes only with units. As in Fig. 1, for example, write “Magnetization (A/m)” or “Magnetization (A</w:t>
      </w:r>
      <w:r>
        <w:rPr>
          <w:color w:val="000000" w:themeColor="text1"/>
          <w:position w:val="-2"/>
          <w14:textFill>
            <w14:solidFill>
              <w14:schemeClr w14:val="tx1"/>
            </w14:solidFill>
          </w14:textFill>
        </w:rPr>
        <w:object>
          <v:shape id="_x0000_i1025" o:spt="75" type="#_x0000_t75" style="height:7.65pt;width:7.65pt;" o:ole="t" fillcolor="#FFFFFF" filled="f" o:preferrelative="t" stroked="f" coordsize="21600,21600">
            <v:path/>
            <v:fill on="f" focussize="0,0"/>
            <v:stroke on="f" joinstyle="miter"/>
            <v:imagedata r:id="rId8" o:title=""/>
            <o:lock v:ext="edit" aspectratio="t"/>
            <w10:wrap type="none"/>
            <w10:anchorlock/>
          </v:shape>
          <o:OLEObject Type="Embed" ProgID="Equation.3" ShapeID="_x0000_i1025" DrawAspect="Content" ObjectID="_1468075725" r:id="rId7">
            <o:LockedField>false</o:LockedField>
          </o:OLEObject>
        </w:object>
      </w:r>
      <w:r>
        <w:rPr>
          <w:color w:val="000000" w:themeColor="text1"/>
          <w14:textFill>
            <w14:solidFill>
              <w14:schemeClr w14:val="tx1"/>
            </w14:solidFill>
          </w14:textFill>
        </w:rPr>
        <w:t>m</w:t>
      </w:r>
      <w:r>
        <w:rPr>
          <w:color w:val="000000" w:themeColor="text1"/>
          <w:vertAlign w:val="superscript"/>
          <w14:textFill>
            <w14:solidFill>
              <w14:schemeClr w14:val="tx1"/>
            </w14:solidFill>
          </w14:textFill>
        </w:rPr>
        <w:sym w:font="Symbol" w:char="F02D"/>
      </w:r>
      <w:r>
        <w:rPr>
          <w:color w:val="000000" w:themeColor="text1"/>
          <w:vertAlign w:val="superscript"/>
          <w14:textFill>
            <w14:solidFill>
              <w14:schemeClr w14:val="tx1"/>
            </w14:solidFill>
          </w14:textFill>
        </w:rPr>
        <w:t>1</w:t>
      </w:r>
      <w:r>
        <w:rPr>
          <w:color w:val="000000" w:themeColor="text1"/>
          <w14:textFill>
            <w14:solidFill>
              <w14:schemeClr w14:val="tx1"/>
            </w14:solidFill>
          </w14:textFill>
        </w:rPr>
        <w:t xml:space="preserve">),” not just “A/m.” Do not label axes with a ratio of quantities and units. For example, write “Temperature (K),” not “Temperature/K.” </w:t>
      </w:r>
    </w:p>
    <w:p w14:paraId="7C97FEBF">
      <w:pPr>
        <w:pStyle w:val="30"/>
        <w:rPr>
          <w:color w:val="000000" w:themeColor="text1"/>
          <w14:textFill>
            <w14:solidFill>
              <w14:schemeClr w14:val="tx1"/>
            </w14:solidFill>
          </w14:textFill>
        </w:rPr>
      </w:pPr>
      <w:r>
        <w:rPr>
          <w:color w:val="000000" w:themeColor="text1"/>
          <w14:textFill>
            <w14:solidFill>
              <w14:schemeClr w14:val="tx1"/>
            </w14:solidFill>
          </w14:textFill>
        </w:rPr>
        <w:t>Multipliers can be especially confusing. Write “Magnetization (kA/m)” or “Magnetization (10</w:t>
      </w:r>
      <w:r>
        <w:rPr>
          <w:color w:val="000000" w:themeColor="text1"/>
          <w:vertAlign w:val="superscript"/>
          <w14:textFill>
            <w14:solidFill>
              <w14:schemeClr w14:val="tx1"/>
            </w14:solidFill>
          </w14:textFill>
        </w:rPr>
        <w:t>3</w:t>
      </w:r>
      <w:r>
        <w:rPr>
          <w:color w:val="000000" w:themeColor="text1"/>
          <w14:textFill>
            <w14:solidFill>
              <w14:schemeClr w14:val="tx1"/>
            </w14:solidFill>
          </w14:textFill>
        </w:rPr>
        <w:t xml:space="preserve"> A/m).” Do not write “Magnetization (A/m) </w:t>
      </w:r>
      <w:r>
        <w:rPr>
          <w:color w:val="000000" w:themeColor="text1"/>
          <w14:textFill>
            <w14:solidFill>
              <w14:schemeClr w14:val="tx1"/>
            </w14:solidFill>
          </w14:textFill>
        </w:rPr>
        <w:sym w:font="Symbol" w:char="F0B4"/>
      </w:r>
      <w:r>
        <w:rPr>
          <w:color w:val="000000" w:themeColor="text1"/>
          <w14:textFill>
            <w14:solidFill>
              <w14:schemeClr w14:val="tx1"/>
            </w14:solidFill>
          </w14:textFill>
        </w:rPr>
        <w:t xml:space="preserve"> 1000” because the reader would not know whether the top axis label in Fig. 1 meant 16000 A/m or 0.016 A/m. Figure labels should be legible, approximately 8 to 12 point type.</w:t>
      </w:r>
    </w:p>
    <w:p w14:paraId="6E14EC7B">
      <w:pPr>
        <w:pStyle w:val="3"/>
        <w:rPr>
          <w:color w:val="000000" w:themeColor="text1"/>
          <w14:textFill>
            <w14:solidFill>
              <w14:schemeClr w14:val="tx1"/>
            </w14:solidFill>
          </w14:textFill>
        </w:rPr>
      </w:pPr>
      <w:r>
        <w:rPr>
          <w:color w:val="000000" w:themeColor="text1"/>
          <w14:textFill>
            <w14:solidFill>
              <w14:schemeClr w14:val="tx1"/>
            </w14:solidFill>
          </w14:textFill>
        </w:rPr>
        <w:t>References</w:t>
      </w:r>
    </w:p>
    <w:p w14:paraId="33C117B5">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Number citations consecutively in square brackets [1]. The sentence punctuation follows the brackets [2]. Multiple references [2], [3] are each numbered with separate brackets [1]–[3]. When citing a section in a book, please give the relevant page numbers [2]. In sentences, refer simply to the reference number, as in [3]. Do not use “Ref. [3]” or “reference [3]” except at the beginning of a sentence: “Reference [3] shows ... .” Unfortunately the IEEE document translator cannot handle automatic endnotes in </w:t>
      </w:r>
      <w:r>
        <w:rPr>
          <w:i/>
          <w:iCs/>
          <w:color w:val="000000" w:themeColor="text1"/>
          <w14:textFill>
            <w14:solidFill>
              <w14:schemeClr w14:val="tx1"/>
            </w14:solidFill>
          </w14:textFill>
        </w:rPr>
        <w:t>Word</w:t>
      </w:r>
      <w:r>
        <w:rPr>
          <w:color w:val="000000" w:themeColor="text1"/>
          <w14:textFill>
            <w14:solidFill>
              <w14:schemeClr w14:val="tx1"/>
            </w14:solidFill>
          </w14:textFill>
        </w:rPr>
        <w:t>; therefore, type the reference list at the end of the paper using the “References” style.</w:t>
      </w:r>
    </w:p>
    <w:p w14:paraId="11B73952">
      <w:pPr>
        <w:pStyle w:val="30"/>
        <w:rPr>
          <w:color w:val="000000" w:themeColor="text1"/>
          <w14:textFill>
            <w14:solidFill>
              <w14:schemeClr w14:val="tx1"/>
            </w14:solidFill>
          </w14:textFill>
        </w:rPr>
      </w:pPr>
      <w:r>
        <w:rPr>
          <w:color w:val="000000" w:themeColor="text1"/>
          <w14:textFill>
            <w14:solidFill>
              <w14:schemeClr w14:val="tx1"/>
            </w14:solidFill>
          </w14:textFill>
        </w:rPr>
        <w:t>Number footnotes separately in superscripts (Insert | Footnote).</w:t>
      </w:r>
      <w:r>
        <w:rPr>
          <w:rStyle w:val="18"/>
          <w:color w:val="000000" w:themeColor="text1"/>
          <w14:textFill>
            <w14:solidFill>
              <w14:schemeClr w14:val="tx1"/>
            </w14:solidFill>
          </w14:textFill>
        </w:rPr>
        <w:footnoteReference w:id="1"/>
      </w:r>
      <w:r>
        <w:rPr>
          <w:color w:val="000000" w:themeColor="text1"/>
          <w14:textFill>
            <w14:solidFill>
              <w14:schemeClr w14:val="tx1"/>
            </w14:solidFill>
          </w14:textFill>
        </w:rPr>
        <w:t xml:space="preserve"> Place the actual footnote at the bottom of the column in which it is cited; do not put footnotes in the reference list (endnotes). Use letters for table footnotes (see Table I). </w:t>
      </w:r>
    </w:p>
    <w:p w14:paraId="3D1ECBF7">
      <w:pPr>
        <w:pStyle w:val="30"/>
        <w:rPr>
          <w:color w:val="000000" w:themeColor="text1"/>
          <w14:textFill>
            <w14:solidFill>
              <w14:schemeClr w14:val="tx1"/>
            </w14:solidFill>
          </w14:textFill>
        </w:rPr>
      </w:pPr>
      <w:r>
        <w:rPr>
          <w:color w:val="000000" w:themeColor="text1"/>
          <w14:textFill>
            <w14:solidFill>
              <w14:schemeClr w14:val="tx1"/>
            </w14:solidFill>
          </w14:textFill>
        </w:rPr>
        <w:t>Please note that the references at the end of this document are in the preferred referencing style. Give all authors’ names; do not use “</w:t>
      </w:r>
      <w:r>
        <w:rPr>
          <w:i/>
          <w:iCs/>
          <w:color w:val="000000" w:themeColor="text1"/>
          <w14:textFill>
            <w14:solidFill>
              <w14:schemeClr w14:val="tx1"/>
            </w14:solidFill>
          </w14:textFill>
        </w:rPr>
        <w:t>et al</w:t>
      </w:r>
      <w:r>
        <w:rPr>
          <w:color w:val="000000" w:themeColor="text1"/>
          <w14:textFill>
            <w14:solidFill>
              <w14:schemeClr w14:val="tx1"/>
            </w14:solidFill>
          </w14:textFill>
        </w:rPr>
        <w:t>.” unless there are six authors or more. Use a space after authors' initials. Papers that have not been published should be cited as “unpublished” [4]. Papers that have been submitted for publication should be cited as “submitted for publication” [5]. Papers that have been accepted for publication, but not yet specified for an issue should be cited as “to be published” [6]. Please give affiliations and addresses for private communications [7].</w:t>
      </w:r>
    </w:p>
    <w:p w14:paraId="6183A004">
      <w:pPr>
        <w:pStyle w:val="30"/>
        <w:ind w:firstLine="144"/>
        <w:rPr>
          <w:color w:val="000000" w:themeColor="text1"/>
          <w14:textFill>
            <w14:solidFill>
              <w14:schemeClr w14:val="tx1"/>
            </w14:solidFill>
          </w14:textFill>
        </w:rPr>
      </w:pPr>
      <w:r>
        <w:rPr>
          <w:color w:val="000000" w:themeColor="text1"/>
          <w14:textFill>
            <w14:solidFill>
              <w14:schemeClr w14:val="tx1"/>
            </w14:solidFill>
          </w14:textFill>
        </w:rPr>
        <w:t>Capitalize only the first word in a paper title, except for proper nouns and element symbols. If you are short of space, you may omit paper titles. However, paper titles are helpful to your readers and are strongly recommended. For papers published in translation journals, please give the English citation first, followed by the original foreign-language citation [8].</w:t>
      </w:r>
    </w:p>
    <w:p w14:paraId="119E98C4">
      <w:pPr>
        <w:pStyle w:val="3"/>
        <w:rPr>
          <w:color w:val="000000" w:themeColor="text1"/>
          <w14:textFill>
            <w14:solidFill>
              <w14:schemeClr w14:val="tx1"/>
            </w14:solidFill>
          </w14:textFill>
        </w:rPr>
      </w:pPr>
      <w:r>
        <w:rPr>
          <w:color w:val="000000" w:themeColor="text1"/>
          <w14:textFill>
            <w14:solidFill>
              <w14:schemeClr w14:val="tx1"/>
            </w14:solidFill>
          </w14:textFill>
        </w:rPr>
        <w:t>Abbreviations and Acronyms</w:t>
      </w:r>
    </w:p>
    <w:p w14:paraId="0C574C7B">
      <w:pPr>
        <w:pStyle w:val="30"/>
        <w:ind w:firstLine="144"/>
        <w:rPr>
          <w:color w:val="000000" w:themeColor="text1"/>
          <w14:textFill>
            <w14:solidFill>
              <w14:schemeClr w14:val="tx1"/>
            </w14:solidFill>
          </w14:textFill>
        </w:rPr>
      </w:pPr>
      <w:r>
        <w:rPr>
          <w:color w:val="000000" w:themeColor="text1"/>
          <w14:textFill>
            <w14:solidFill>
              <w14:schemeClr w14:val="tx1"/>
            </w14:solidFill>
          </w14:textFill>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0C1DC3C8">
      <w:pPr>
        <w:pStyle w:val="3"/>
        <w:rPr>
          <w:color w:val="000000" w:themeColor="text1"/>
          <w14:textFill>
            <w14:solidFill>
              <w14:schemeClr w14:val="tx1"/>
            </w14:solidFill>
          </w14:textFill>
        </w:rPr>
      </w:pPr>
      <w:r>
        <w:rPr>
          <w:color w:val="000000" w:themeColor="text1"/>
          <w14:textFill>
            <w14:solidFill>
              <w14:schemeClr w14:val="tx1"/>
            </w14:solidFill>
          </w14:textFill>
        </w:rPr>
        <w:t>Equations</w:t>
      </w:r>
    </w:p>
    <w:p w14:paraId="6CEC92DD">
      <w:pPr>
        <w:pStyle w:val="30"/>
        <w:rPr>
          <w:color w:val="000000" w:themeColor="text1"/>
          <w14:textFill>
            <w14:solidFill>
              <w14:schemeClr w14:val="tx1"/>
            </w14:solidFill>
          </w14:textFill>
        </w:rPr>
      </w:pPr>
      <w:r>
        <w:rPr>
          <w:color w:val="000000" w:themeColor="text1"/>
          <w14:textFill>
            <w14:solidFill>
              <w14:schemeClr w14:val="tx1"/>
            </w14:solidFill>
          </w14:textFill>
        </w:rP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4ACB25DD">
      <w:pPr>
        <w:pStyle w:val="30"/>
        <w:rPr>
          <w:color w:val="000000" w:themeColor="text1"/>
          <w14:textFill>
            <w14:solidFill>
              <w14:schemeClr w14:val="tx1"/>
            </w14:solidFill>
          </w14:textFill>
        </w:rPr>
      </w:pPr>
    </w:p>
    <w:p w14:paraId="6E78799B">
      <w:pPr>
        <w:pStyle w:val="34"/>
        <w:rPr>
          <w:color w:val="000000" w:themeColor="text1"/>
          <w14:textFill>
            <w14:solidFill>
              <w14:schemeClr w14:val="tx1"/>
            </w14:solidFill>
          </w14:textFill>
        </w:rPr>
      </w:pPr>
      <w:r>
        <w:rPr>
          <w:color w:val="000000" w:themeColor="text1"/>
          <w:position w:val="-50"/>
          <w14:textFill>
            <w14:solidFill>
              <w14:schemeClr w14:val="tx1"/>
            </w14:solidFill>
          </w14:textFill>
        </w:rPr>
        <w:object>
          <v:shape id="_x0000_i1026" o:spt="75" type="#_x0000_t75" style="height:43.65pt;width:230.2pt;" o:ole="t" fillcolor="#FFFFFF" filled="f" o:preferrelative="t" stroked="f" coordsize="21600,21600">
            <v:path/>
            <v:fill on="f" focussize="0,0"/>
            <v:stroke on="f" joinstyle="miter"/>
            <v:imagedata r:id="rId10" o:title=""/>
            <o:lock v:ext="edit" aspectratio="t"/>
            <w10:wrap type="none"/>
            <w10:anchorlock/>
          </v:shape>
          <o:OLEObject Type="Embed" ProgID="Equation.3" ShapeID="_x0000_i1026" DrawAspect="Content" ObjectID="_1468075726" r:id="rId9">
            <o:LockedField>false</o:LockedField>
          </o:OLEObject>
        </w:object>
      </w:r>
      <w:r>
        <w:rPr>
          <w:color w:val="000000" w:themeColor="text1"/>
          <w14:textFill>
            <w14:solidFill>
              <w14:schemeClr w14:val="tx1"/>
            </w14:solidFill>
          </w14:textFill>
        </w:rPr>
        <w:t>(1)</w:t>
      </w:r>
    </w:p>
    <w:p w14:paraId="1EDE25D9">
      <w:pPr>
        <w:rPr>
          <w:color w:val="000000" w:themeColor="text1"/>
          <w14:textFill>
            <w14:solidFill>
              <w14:schemeClr w14:val="tx1"/>
            </w14:solidFill>
          </w14:textFill>
        </w:rPr>
      </w:pPr>
    </w:p>
    <w:p w14:paraId="4B5EB718">
      <w:pPr>
        <w:pStyle w:val="30"/>
        <w:rPr>
          <w:color w:val="000000" w:themeColor="text1"/>
          <w14:textFill>
            <w14:solidFill>
              <w14:schemeClr w14:val="tx1"/>
            </w14:solidFill>
          </w14:textFill>
        </w:rPr>
      </w:pPr>
      <w:r>
        <w:rPr>
          <w:color w:val="000000" w:themeColor="text1"/>
          <w14:textFill>
            <w14:solidFill>
              <w14:schemeClr w14:val="tx1"/>
            </w14:solidFill>
          </w14:textFill>
        </w:rPr>
        <w:t>Be sure that the symbols in your equation have been defined before the equation appears or immediately following. Italicize symbols (</w:t>
      </w:r>
      <w:r>
        <w:rPr>
          <w:i/>
          <w:iCs/>
          <w:color w:val="000000" w:themeColor="text1"/>
          <w14:textFill>
            <w14:solidFill>
              <w14:schemeClr w14:val="tx1"/>
            </w14:solidFill>
          </w14:textFill>
        </w:rPr>
        <w:t>T</w:t>
      </w:r>
      <w:r>
        <w:rPr>
          <w:color w:val="000000" w:themeColor="text1"/>
          <w14:textFill>
            <w14:solidFill>
              <w14:schemeClr w14:val="tx1"/>
            </w14:solidFill>
          </w14:textFill>
        </w:rPr>
        <w:t xml:space="preserve"> might refer to temperature, but T is the unit tesla). Refer to “(1),” not “Eq. (1)” or “equation (1),” except at the beginning of a sentence: “Equation (1) is ... .”</w:t>
      </w:r>
    </w:p>
    <w:p w14:paraId="0BA2F594">
      <w:pPr>
        <w:pStyle w:val="3"/>
        <w:rPr>
          <w:color w:val="000000" w:themeColor="text1"/>
          <w14:textFill>
            <w14:solidFill>
              <w14:schemeClr w14:val="tx1"/>
            </w14:solidFill>
          </w14:textFill>
        </w:rPr>
      </w:pPr>
      <w:r>
        <w:rPr>
          <w:color w:val="000000" w:themeColor="text1"/>
          <w14:textFill>
            <w14:solidFill>
              <w14:schemeClr w14:val="tx1"/>
            </w14:solidFill>
          </w14:textFill>
        </w:rPr>
        <w:t>Other Recommendations</w:t>
      </w:r>
    </w:p>
    <w:p w14:paraId="05B3EAC9">
      <w:pPr>
        <w:pStyle w:val="30"/>
        <w:rPr>
          <w:color w:val="000000" w:themeColor="text1"/>
          <w14:textFill>
            <w14:solidFill>
              <w14:schemeClr w14:val="tx1"/>
            </w14:solidFill>
          </w14:textFill>
        </w:rPr>
      </w:pPr>
      <w:r>
        <w:rPr>
          <w:color w:val="000000" w:themeColor="text1"/>
          <w14:textFill>
            <w14:solidFill>
              <w14:schemeClr w14:val="tx1"/>
            </w14:solidFill>
          </w14:textFill>
        </w:rPr>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6242E773">
      <w:pPr>
        <w:pStyle w:val="30"/>
        <w:rPr>
          <w:color w:val="000000" w:themeColor="text1"/>
          <w14:textFill>
            <w14:solidFill>
              <w14:schemeClr w14:val="tx1"/>
            </w14:solidFill>
          </w14:textFill>
        </w:rPr>
      </w:pPr>
      <w:r>
        <w:rPr>
          <w:color w:val="000000" w:themeColor="text1"/>
          <w14:textFill>
            <w14:solidFill>
              <w14:schemeClr w14:val="tx1"/>
            </w14:solidFill>
          </w14:textFill>
        </w:rPr>
        <w:t>Use a zero before decimal points: “0.25,” not “.25.” Use “cm</w:t>
      </w:r>
      <w:r>
        <w:rPr>
          <w:color w:val="000000" w:themeColor="text1"/>
          <w:vertAlign w:val="superscript"/>
          <w14:textFill>
            <w14:solidFill>
              <w14:schemeClr w14:val="tx1"/>
            </w14:solidFill>
          </w14:textFill>
        </w:rPr>
        <w:t>3</w:t>
      </w:r>
      <w:r>
        <w:rPr>
          <w:color w:val="000000" w:themeColor="text1"/>
          <w14:textFill>
            <w14:solidFill>
              <w14:schemeClr w14:val="tx1"/>
            </w14:solidFill>
          </w14:textFill>
        </w:rPr>
        <w:t xml:space="preserve">,” not “cc.” Indicate sample dimensions as “0.1 cm </w:t>
      </w:r>
      <w:r>
        <w:rPr>
          <w:color w:val="000000" w:themeColor="text1"/>
          <w14:textFill>
            <w14:solidFill>
              <w14:schemeClr w14:val="tx1"/>
            </w14:solidFill>
          </w14:textFill>
        </w:rPr>
        <w:sym w:font="Symbol" w:char="F0B4"/>
      </w:r>
      <w:r>
        <w:rPr>
          <w:color w:val="000000" w:themeColor="text1"/>
          <w14:textFill>
            <w14:solidFill>
              <w14:schemeClr w14:val="tx1"/>
            </w14:solidFill>
          </w14:textFill>
        </w:rPr>
        <w:t xml:space="preserve"> 0.2 cm,” not “0.1 </w:t>
      </w:r>
      <w:r>
        <w:rPr>
          <w:color w:val="000000" w:themeColor="text1"/>
          <w14:textFill>
            <w14:solidFill>
              <w14:schemeClr w14:val="tx1"/>
            </w14:solidFill>
          </w14:textFill>
        </w:rPr>
        <w:sym w:font="Symbol" w:char="F0B4"/>
      </w:r>
      <w:r>
        <w:rPr>
          <w:color w:val="000000" w:themeColor="text1"/>
          <w14:textFill>
            <w14:solidFill>
              <w14:schemeClr w14:val="tx1"/>
            </w14:solidFill>
          </w14:textFill>
        </w:rPr>
        <w:t xml:space="preserve"> 0.2 cm</w:t>
      </w:r>
      <w:r>
        <w:rPr>
          <w:color w:val="000000" w:themeColor="text1"/>
          <w:vertAlign w:val="superscript"/>
          <w14:textFill>
            <w14:solidFill>
              <w14:schemeClr w14:val="tx1"/>
            </w14:solidFill>
          </w14:textFill>
        </w:rPr>
        <w:t>2</w:t>
      </w:r>
      <w:r>
        <w:rPr>
          <w:color w:val="000000" w:themeColor="text1"/>
          <w14:textFill>
            <w14:solidFill>
              <w14:schemeClr w14:val="tx1"/>
            </w14:solidFill>
          </w14:textFill>
        </w:rPr>
        <w:t>.” The abbreviation for “seconds” is “s,” not “sec.” Do not mix complete spellings and abbreviations of units: use “Wb/m</w:t>
      </w:r>
      <w:r>
        <w:rPr>
          <w:color w:val="000000" w:themeColor="text1"/>
          <w:vertAlign w:val="superscript"/>
          <w14:textFill>
            <w14:solidFill>
              <w14:schemeClr w14:val="tx1"/>
            </w14:solidFill>
          </w14:textFill>
        </w:rPr>
        <w:t>2</w:t>
      </w:r>
      <w:r>
        <w:rPr>
          <w:color w:val="000000" w:themeColor="text1"/>
          <w14:textFill>
            <w14:solidFill>
              <w14:schemeClr w14:val="tx1"/>
            </w14:solidFill>
          </w14:textFill>
        </w:rPr>
        <w:t>” or “webers per square meter,” not “webers/m</w:t>
      </w:r>
      <w:r>
        <w:rPr>
          <w:color w:val="000000" w:themeColor="text1"/>
          <w:vertAlign w:val="superscript"/>
          <w14:textFill>
            <w14:solidFill>
              <w14:schemeClr w14:val="tx1"/>
            </w14:solidFill>
          </w14:textFill>
        </w:rPr>
        <w:t>2</w:t>
      </w:r>
      <w:r>
        <w:rPr>
          <w:color w:val="000000" w:themeColor="text1"/>
          <w14:textFill>
            <w14:solidFill>
              <w14:schemeClr w14:val="tx1"/>
            </w14:solidFill>
          </w14:textFill>
        </w:rPr>
        <w:t>.” When expressing a range of values, write “7 to 9” or “7-9,” not “7~9.”</w:t>
      </w:r>
    </w:p>
    <w:p w14:paraId="3BB61D17">
      <w:pPr>
        <w:pStyle w:val="30"/>
        <w:rPr>
          <w:color w:val="000000" w:themeColor="text1"/>
          <w14:textFill>
            <w14:solidFill>
              <w14:schemeClr w14:val="tx1"/>
            </w14:solidFill>
          </w14:textFill>
        </w:rPr>
      </w:pPr>
      <w:r>
        <w:rPr>
          <w:color w:val="000000" w:themeColor="text1"/>
          <w14:textFill>
            <w14:solidFill>
              <w14:schemeClr w14:val="tx1"/>
            </w14:solidFill>
          </w14:textFill>
        </w:rP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5486CDED">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If you wish, you may write in the first person singular or plural and use the active voice (“I observed that ...” or “We observed that ...” instead of “It was observed that ...”). Remember to check spelling. If your native language is not English, please get a native English-speaking colleague to proofread your paper. </w:t>
      </w:r>
    </w:p>
    <w:p w14:paraId="797874E2">
      <w:pPr>
        <w:pStyle w:val="2"/>
        <w:rPr>
          <w:color w:val="000000" w:themeColor="text1"/>
          <w14:textFill>
            <w14:solidFill>
              <w14:schemeClr w14:val="tx1"/>
            </w14:solidFill>
          </w14:textFill>
        </w:rPr>
      </w:pPr>
      <w:r>
        <w:rPr>
          <w:color w:val="000000" w:themeColor="text1"/>
          <w14:textFill>
            <w14:solidFill>
              <w14:schemeClr w14:val="tx1"/>
            </w14:solidFill>
          </w14:textFill>
        </w:rPr>
        <w:t>Future Scope</w:t>
      </w:r>
    </w:p>
    <w:p w14:paraId="46E8D780">
      <w:pPr>
        <w:jc w:val="both"/>
        <w:rPr>
          <w:color w:val="000000" w:themeColor="text1"/>
          <w14:textFill>
            <w14:solidFill>
              <w14:schemeClr w14:val="tx1"/>
            </w14:solidFill>
          </w14:textFill>
        </w:rPr>
      </w:pPr>
      <w:r>
        <w:rPr>
          <w:color w:val="000000" w:themeColor="text1"/>
          <w14:textFill>
            <w14:solidFill>
              <w14:schemeClr w14:val="tx1"/>
            </w14:solidFill>
          </w14:textFill>
        </w:rPr>
        <w:t xml:space="preserve">SmartLearn AI can be extended in several promising directions to further enhance its impact on personalized e-learning. Future versions may incorporate </w:t>
      </w:r>
      <w:r>
        <w:rPr>
          <w:b/>
          <w:bCs/>
          <w:color w:val="000000" w:themeColor="text1"/>
          <w14:textFill>
            <w14:solidFill>
              <w14:schemeClr w14:val="tx1"/>
            </w14:solidFill>
          </w14:textFill>
        </w:rPr>
        <w:t>emotion recognition</w:t>
      </w:r>
      <w:r>
        <w:rPr>
          <w:color w:val="000000" w:themeColor="text1"/>
          <w14:textFill>
            <w14:solidFill>
              <w14:schemeClr w14:val="tx1"/>
            </w14:solidFill>
          </w14:textFill>
        </w:rPr>
        <w:t xml:space="preserve"> using webcam-based effective analysis to detect confusion or disengagement in real time, enabling even more accurate difficulty mapping. The system can also be expanded through </w:t>
      </w:r>
      <w:r>
        <w:rPr>
          <w:b/>
          <w:bCs/>
          <w:color w:val="000000" w:themeColor="text1"/>
          <w14:textFill>
            <w14:solidFill>
              <w14:schemeClr w14:val="tx1"/>
            </w14:solidFill>
          </w14:textFill>
        </w:rPr>
        <w:t>gamification features</w:t>
      </w:r>
      <w:r>
        <w:rPr>
          <w:color w:val="000000" w:themeColor="text1"/>
          <w14:textFill>
            <w14:solidFill>
              <w14:schemeClr w14:val="tx1"/>
            </w14:solidFill>
          </w14:textFill>
        </w:rPr>
        <w:t xml:space="preserve"> such as badges, streaks, and XP points to improve learner motivation. Integration with </w:t>
      </w:r>
      <w:r>
        <w:rPr>
          <w:b/>
          <w:bCs/>
          <w:color w:val="000000" w:themeColor="text1"/>
          <w14:textFill>
            <w14:solidFill>
              <w14:schemeClr w14:val="tx1"/>
            </w14:solidFill>
          </w14:textFill>
        </w:rPr>
        <w:t>Learning Management Systems (LMS)</w:t>
      </w:r>
      <w:r>
        <w:rPr>
          <w:color w:val="000000" w:themeColor="text1"/>
          <w14:textFill>
            <w14:solidFill>
              <w14:schemeClr w14:val="tx1"/>
            </w14:solidFill>
          </w14:textFill>
        </w:rPr>
        <w:t xml:space="preserve"> like Google Classroom, Moodle, and Microsoft Teams would allow educators to access analytics and monitor class-wide learning patterns. Additionally, support for </w:t>
      </w:r>
      <w:r>
        <w:rPr>
          <w:b/>
          <w:bCs/>
          <w:color w:val="000000" w:themeColor="text1"/>
          <w14:textFill>
            <w14:solidFill>
              <w14:schemeClr w14:val="tx1"/>
            </w14:solidFill>
          </w14:textFill>
        </w:rPr>
        <w:t>cross-device synchronization</w:t>
      </w:r>
      <w:r>
        <w:rPr>
          <w:color w:val="000000" w:themeColor="text1"/>
          <w14:textFill>
            <w14:solidFill>
              <w14:schemeClr w14:val="tx1"/>
            </w14:solidFill>
          </w14:textFill>
        </w:rPr>
        <w:t>, mobile applications, and cloud-based user profiles would make the platform more accessible. Advanced analytics, including concept mastery graphs and long-term learning behavior modeling, could help create a comprehensive adaptive learning ecosystem, making SmartLearn AI a robust tool for modern digital education.</w:t>
      </w:r>
    </w:p>
    <w:p w14:paraId="6DA0212A">
      <w:pPr>
        <w:pStyle w:val="2"/>
        <w:rPr>
          <w:color w:val="000000" w:themeColor="text1"/>
          <w14:textFill>
            <w14:solidFill>
              <w14:schemeClr w14:val="tx1"/>
            </w14:solidFill>
          </w14:textFill>
        </w:rPr>
      </w:pPr>
      <w:r>
        <w:rPr>
          <w:color w:val="000000" w:themeColor="text1"/>
          <w14:textFill>
            <w14:solidFill>
              <w14:schemeClr w14:val="tx1"/>
            </w14:solidFill>
          </w14:textFill>
        </w:rPr>
        <w:t>Conclusion</w:t>
      </w:r>
    </w:p>
    <w:p w14:paraId="33253607">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SmartLearn AI provides an innovative, data-driven approach to enhancing video-based learning by converting passive watching into an active and personalized learning experience. By capturing fine-grained learner interactions such as pauses, rewinds, and skips through a Chrome extension, the system identifies difficult segments and visualizes them using intuitive heatmaps. These insights are further leveraged by an NLP-powered quiz generation module that creates targeted assessments based on the most challenging parts of the video. This unified framework not only helps learners understand their weaknesses but also supports continuous self-improvement through personalized revision and practice. With its platform-independent architecture and adaptive learning capabilities, SmartLearn AI demonstrates strong potential for advancing intelligent e-learning systems and enabling deeper learner engagement across diverse educational platforms. </w:t>
      </w:r>
    </w:p>
    <w:p w14:paraId="7AB72DE9">
      <w:pPr>
        <w:pStyle w:val="33"/>
        <w:rPr>
          <w:color w:val="000000" w:themeColor="text1"/>
          <w14:textFill>
            <w14:solidFill>
              <w14:schemeClr w14:val="tx1"/>
            </w14:solidFill>
          </w14:textFill>
        </w:rPr>
      </w:pPr>
      <w:r>
        <w:rPr>
          <w:color w:val="000000" w:themeColor="text1"/>
          <w14:textFill>
            <w14:solidFill>
              <w14:schemeClr w14:val="tx1"/>
            </w14:solidFill>
          </w14:textFill>
        </w:rPr>
        <w:t>X . Acknowledgment</w:t>
      </w:r>
    </w:p>
    <w:p w14:paraId="60694C89">
      <w:pPr>
        <w:pStyle w:val="30"/>
        <w:rPr>
          <w:color w:val="000000" w:themeColor="text1"/>
          <w14:textFill>
            <w14:solidFill>
              <w14:schemeClr w14:val="tx1"/>
            </w14:solidFill>
          </w14:textFill>
        </w:rPr>
      </w:pPr>
      <w:r>
        <w:rPr>
          <w:color w:val="000000" w:themeColor="text1"/>
          <w14:textFill>
            <w14:solidFill>
              <w14:schemeClr w14:val="tx1"/>
            </w14:solidFill>
          </w14:textFill>
        </w:rPr>
        <w:t xml:space="preserve">We would like to express their sincere gratitude to </w:t>
      </w:r>
      <w:r>
        <w:rPr>
          <w:b/>
          <w:bCs/>
          <w:color w:val="000000" w:themeColor="text1"/>
          <w14:textFill>
            <w14:solidFill>
              <w14:schemeClr w14:val="tx1"/>
            </w14:solidFill>
          </w14:textFill>
        </w:rPr>
        <w:t>Prof. (Dr.) Virendrakumar Dhotre</w:t>
      </w:r>
      <w:r>
        <w:rPr>
          <w:color w:val="000000" w:themeColor="text1"/>
          <w14:textFill>
            <w14:solidFill>
              <w14:schemeClr w14:val="tx1"/>
            </w14:solidFill>
          </w14:textFill>
        </w:rPr>
        <w:t xml:space="preserve"> for his continuous guidance, valuable insights, and encouragement throughout the development of this project. We also acknowledge the Department of Computer Science and Engineering (Artificial Intelligence and Machine Learning), Vishwakarma Institute of Technology, Pune, for providing the necessary infrastructure and support. Special thanks are extended to peers and classmates for their constructive feedback and collaboration during various stages of experimentation, testing, and documentation. Their collective support has greatly contributed to the successful completion of this research work.</w:t>
      </w:r>
    </w:p>
    <w:p w14:paraId="42AA1E94">
      <w:pPr>
        <w:pStyle w:val="33"/>
        <w:rPr>
          <w:color w:val="000000" w:themeColor="text1"/>
          <w14:textFill>
            <w14:solidFill>
              <w14:schemeClr w14:val="tx1"/>
            </w14:solidFill>
          </w14:textFill>
        </w:rPr>
      </w:pPr>
      <w:r>
        <w:rPr>
          <w:color w:val="000000" w:themeColor="text1"/>
          <w14:textFill>
            <w14:solidFill>
              <w14:schemeClr w14:val="tx1"/>
            </w14:solidFill>
          </w14:textFill>
        </w:rPr>
        <w:t>References</w:t>
      </w:r>
    </w:p>
    <w:p w14:paraId="1363E272">
      <w:pPr>
        <w:numPr>
          <w:ilvl w:val="0"/>
          <w:numId w:val="3"/>
        </w:numPr>
        <w:jc w:val="both"/>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 xml:space="preserve">Maireva S., Usai T. and Manhokwe S., "The Determination of Adulteration in Orange Based Fruit Juices", International Journal of Science and Technology Volume 2 No. 5, May, 2013. </w:t>
      </w:r>
    </w:p>
    <w:p w14:paraId="1BB82354">
      <w:pPr>
        <w:numPr>
          <w:ilvl w:val="0"/>
          <w:numId w:val="3"/>
        </w:numPr>
        <w:jc w:val="both"/>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A. H. Kiranmayee, P. C. Panchariya, P. B. Prasad and A. L. Sharma, "Biomimetic cIassification of juices", Proceeding of 20 I 2 Sixth International Conference on Sensing Technology (ICST), pp. 551-556,2012.</w:t>
      </w:r>
    </w:p>
    <w:p w14:paraId="79F2D83F">
      <w:pPr>
        <w:numPr>
          <w:ilvl w:val="0"/>
          <w:numId w:val="3"/>
        </w:numPr>
        <w:jc w:val="both"/>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 xml:space="preserve">W.-K. Chen, </w:t>
      </w:r>
      <w:r>
        <w:rPr>
          <w:i/>
          <w:iCs/>
          <w:color w:val="000000" w:themeColor="text1"/>
          <w:sz w:val="16"/>
          <w:szCs w:val="16"/>
          <w14:textFill>
            <w14:solidFill>
              <w14:schemeClr w14:val="tx1"/>
            </w14:solidFill>
          </w14:textFill>
        </w:rPr>
        <w:t>Linear Networks and Systems</w:t>
      </w:r>
      <w:r>
        <w:rPr>
          <w:color w:val="000000" w:themeColor="text1"/>
          <w:sz w:val="16"/>
          <w:szCs w:val="16"/>
          <w14:textFill>
            <w14:solidFill>
              <w14:schemeClr w14:val="tx1"/>
            </w14:solidFill>
          </w14:textFill>
        </w:rPr>
        <w:t xml:space="preserve"> (Book style)</w:t>
      </w:r>
      <w:r>
        <w:rPr>
          <w:i/>
          <w:iCs/>
          <w:color w:val="000000" w:themeColor="text1"/>
          <w:sz w:val="16"/>
          <w:szCs w:val="16"/>
          <w14:textFill>
            <w14:solidFill>
              <w14:schemeClr w14:val="tx1"/>
            </w14:solidFill>
          </w14:textFill>
        </w:rPr>
        <w:t>.</w:t>
      </w:r>
      <w:r>
        <w:rPr>
          <w:color w:val="000000" w:themeColor="text1"/>
          <w:sz w:val="16"/>
          <w:szCs w:val="16"/>
          <w14:textFill>
            <w14:solidFill>
              <w14:schemeClr w14:val="tx1"/>
            </w14:solidFill>
          </w14:textFill>
        </w:rPr>
        <w:tab/>
      </w:r>
      <w:r>
        <w:rPr>
          <w:color w:val="000000" w:themeColor="text1"/>
          <w:sz w:val="16"/>
          <w:szCs w:val="16"/>
          <w14:textFill>
            <w14:solidFill>
              <w14:schemeClr w14:val="tx1"/>
            </w14:solidFill>
          </w14:textFill>
        </w:rPr>
        <w:t>Belmont, CA: Wadsworth, 1993, pp. 123–135.</w:t>
      </w:r>
    </w:p>
    <w:p w14:paraId="745EE8DD">
      <w:pPr>
        <w:numPr>
          <w:ilvl w:val="0"/>
          <w:numId w:val="3"/>
        </w:numPr>
        <w:jc w:val="both"/>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 xml:space="preserve"> G. Eason, B. Noble, and I. N. Sneddon, “</w:t>
      </w:r>
      <w:r>
        <w:rPr>
          <w:i/>
          <w:iCs/>
          <w:color w:val="000000" w:themeColor="text1"/>
          <w:sz w:val="16"/>
          <w:szCs w:val="16"/>
          <w14:textFill>
            <w14:solidFill>
              <w14:schemeClr w14:val="tx1"/>
            </w14:solidFill>
          </w14:textFill>
        </w:rPr>
        <w:t>On certain integrals of Lipschitz-Hankel type involving products of Bessel functions,</w:t>
      </w:r>
      <w:r>
        <w:rPr>
          <w:color w:val="000000" w:themeColor="text1"/>
          <w:sz w:val="16"/>
          <w:szCs w:val="16"/>
          <w14:textFill>
            <w14:solidFill>
              <w14:schemeClr w14:val="tx1"/>
            </w14:solidFill>
          </w14:textFill>
        </w:rPr>
        <w:t>” Philosophical Transaction Royal Society London, volume A-247, pp. 529–551, April 1955</w:t>
      </w:r>
      <w:r>
        <w:rPr>
          <w:color w:val="000000" w:themeColor="text1"/>
          <w14:textFill>
            <w14:solidFill>
              <w14:schemeClr w14:val="tx1"/>
            </w14:solidFill>
          </w14:textFill>
        </w:rPr>
        <w:t>.</w:t>
      </w:r>
    </w:p>
    <w:p w14:paraId="7818496A">
      <w:pPr>
        <w:pStyle w:val="28"/>
        <w:numPr>
          <w:ilvl w:val="0"/>
          <w:numId w:val="3"/>
        </w:numPr>
        <w:rPr>
          <w:color w:val="000000" w:themeColor="text1"/>
          <w14:textFill>
            <w14:solidFill>
              <w14:schemeClr w14:val="tx1"/>
            </w14:solidFill>
          </w14:textFill>
        </w:rPr>
      </w:pPr>
      <w:r>
        <w:rPr>
          <w:color w:val="000000" w:themeColor="text1"/>
          <w14:textFill>
            <w14:solidFill>
              <w14:schemeClr w14:val="tx1"/>
            </w14:solidFill>
          </w14:textFill>
        </w:rPr>
        <w:t>B. Smith, “An approach to graphs of linear forms (Unpublished work style),” unpublished.</w:t>
      </w:r>
    </w:p>
    <w:p w14:paraId="56C54D56">
      <w:pPr>
        <w:numPr>
          <w:ilvl w:val="0"/>
          <w:numId w:val="3"/>
        </w:numPr>
        <w:jc w:val="both"/>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 xml:space="preserve">E. H. Miller, “A note on reflector arrays (Periodical style—Accepted for publication),” </w:t>
      </w:r>
      <w:r>
        <w:rPr>
          <w:i/>
          <w:iCs/>
          <w:color w:val="000000" w:themeColor="text1"/>
          <w:sz w:val="16"/>
          <w:szCs w:val="16"/>
          <w14:textFill>
            <w14:solidFill>
              <w14:schemeClr w14:val="tx1"/>
            </w14:solidFill>
          </w14:textFill>
        </w:rPr>
        <w:t>IEEE Trans. Antennas Propagat.</w:t>
      </w:r>
      <w:r>
        <w:rPr>
          <w:color w:val="000000" w:themeColor="text1"/>
          <w:sz w:val="16"/>
          <w:szCs w:val="16"/>
          <w14:textFill>
            <w14:solidFill>
              <w14:schemeClr w14:val="tx1"/>
            </w14:solidFill>
          </w14:textFill>
        </w:rPr>
        <w:t>, to be published.</w:t>
      </w:r>
    </w:p>
    <w:p w14:paraId="6A34B062">
      <w:pPr>
        <w:numPr>
          <w:ilvl w:val="0"/>
          <w:numId w:val="3"/>
        </w:numPr>
        <w:jc w:val="both"/>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t xml:space="preserve">J. Wang, “Fundamentals of erbium-doped fiber amplifiers arrays (Periodical style—Submitted for publication),” </w:t>
      </w:r>
      <w:r>
        <w:rPr>
          <w:i/>
          <w:iCs/>
          <w:color w:val="000000" w:themeColor="text1"/>
          <w:sz w:val="16"/>
          <w:szCs w:val="16"/>
          <w14:textFill>
            <w14:solidFill>
              <w14:schemeClr w14:val="tx1"/>
            </w14:solidFill>
          </w14:textFill>
        </w:rPr>
        <w:t>IEEE J. Quantum Electron.</w:t>
      </w:r>
      <w:r>
        <w:rPr>
          <w:color w:val="000000" w:themeColor="text1"/>
          <w:sz w:val="16"/>
          <w:szCs w:val="16"/>
          <w14:textFill>
            <w14:solidFill>
              <w14:schemeClr w14:val="tx1"/>
            </w14:solidFill>
          </w14:textFill>
        </w:rPr>
        <w:t>, submitted for publication.</w:t>
      </w:r>
    </w:p>
    <w:p w14:paraId="025F9F22">
      <w:pPr>
        <w:pStyle w:val="28"/>
        <w:numPr>
          <w:ilvl w:val="0"/>
          <w:numId w:val="3"/>
        </w:numPr>
        <w:rPr>
          <w:color w:val="000000" w:themeColor="text1"/>
          <w14:textFill>
            <w14:solidFill>
              <w14:schemeClr w14:val="tx1"/>
            </w14:solidFill>
          </w14:textFill>
        </w:rPr>
      </w:pPr>
      <w:r>
        <w:rPr>
          <w:color w:val="000000" w:themeColor="text1"/>
          <w14:textFill>
            <w14:solidFill>
              <w14:schemeClr w14:val="tx1"/>
            </w14:solidFill>
          </w14:textFill>
        </w:rPr>
        <w:t>C. J. Kaufman, Rocky Mountain Research Lab., Boulder, CO, private communication, May 1995.</w:t>
      </w:r>
    </w:p>
    <w:p w14:paraId="296894AC">
      <w:pPr>
        <w:pStyle w:val="28"/>
        <w:numPr>
          <w:ilvl w:val="0"/>
          <w:numId w:val="3"/>
        </w:numPr>
        <w:rPr>
          <w:color w:val="000000" w:themeColor="text1"/>
          <w14:textFill>
            <w14:solidFill>
              <w14:schemeClr w14:val="tx1"/>
            </w14:solidFill>
          </w14:textFill>
        </w:rPr>
      </w:pPr>
      <w:r>
        <w:rPr>
          <w:color w:val="000000" w:themeColor="text1"/>
          <w14:textFill>
            <w14:solidFill>
              <w14:schemeClr w14:val="tx1"/>
            </w14:solidFill>
          </w14:textFill>
        </w:rPr>
        <w:t xml:space="preserve">Y. Yorozu, M. Hirano, K. Oka, and Y. Tagawa, “Electron spectroscopy studies on magneto-optical media and plastic substrate interfaces (Translation Journals style),” </w:t>
      </w:r>
      <w:r>
        <w:rPr>
          <w:i/>
          <w:iCs/>
          <w:color w:val="000000" w:themeColor="text1"/>
          <w14:textFill>
            <w14:solidFill>
              <w14:schemeClr w14:val="tx1"/>
            </w14:solidFill>
          </w14:textFill>
        </w:rPr>
        <w:t>IEEE Transl. J. Magn.Jpn.</w:t>
      </w:r>
      <w:r>
        <w:rPr>
          <w:color w:val="000000" w:themeColor="text1"/>
          <w14:textFill>
            <w14:solidFill>
              <w14:schemeClr w14:val="tx1"/>
            </w14:solidFill>
          </w14:textFill>
        </w:rPr>
        <w:t>, vol. 2, Aug. 1987, pp. 740–741 [</w:t>
      </w:r>
      <w:r>
        <w:rPr>
          <w:i/>
          <w:iCs/>
          <w:color w:val="000000" w:themeColor="text1"/>
          <w14:textFill>
            <w14:solidFill>
              <w14:schemeClr w14:val="tx1"/>
            </w14:solidFill>
          </w14:textFill>
        </w:rPr>
        <w:t>Dig. 9</w:t>
      </w:r>
      <w:r>
        <w:rPr>
          <w:i/>
          <w:iCs/>
          <w:color w:val="000000" w:themeColor="text1"/>
          <w:vertAlign w:val="superscript"/>
          <w14:textFill>
            <w14:solidFill>
              <w14:schemeClr w14:val="tx1"/>
            </w14:solidFill>
          </w14:textFill>
        </w:rPr>
        <w:t>th</w:t>
      </w:r>
      <w:r>
        <w:rPr>
          <w:i/>
          <w:iCs/>
          <w:color w:val="000000" w:themeColor="text1"/>
          <w14:textFill>
            <w14:solidFill>
              <w14:schemeClr w14:val="tx1"/>
            </w14:solidFill>
          </w14:textFill>
        </w:rPr>
        <w:t xml:space="preserve"> Annu. Conf. Magnetics</w:t>
      </w:r>
      <w:r>
        <w:rPr>
          <w:color w:val="000000" w:themeColor="text1"/>
          <w14:textFill>
            <w14:solidFill>
              <w14:schemeClr w14:val="tx1"/>
            </w14:solidFill>
          </w14:textFill>
        </w:rPr>
        <w:t xml:space="preserve"> Japan, 1982, p. 301].</w:t>
      </w:r>
    </w:p>
    <w:p w14:paraId="2C1C629B">
      <w:pPr>
        <w:pStyle w:val="28"/>
        <w:numPr>
          <w:ilvl w:val="0"/>
          <w:numId w:val="3"/>
        </w:numPr>
        <w:rPr>
          <w:color w:val="000000" w:themeColor="text1"/>
          <w14:textFill>
            <w14:solidFill>
              <w14:schemeClr w14:val="tx1"/>
            </w14:solidFill>
          </w14:textFill>
        </w:rPr>
      </w:pPr>
      <w:r>
        <w:rPr>
          <w:color w:val="000000" w:themeColor="text1"/>
          <w14:textFill>
            <w14:solidFill>
              <w14:schemeClr w14:val="tx1"/>
            </w14:solidFill>
          </w14:textFill>
        </w:rPr>
        <w:t xml:space="preserve">M. Young, </w:t>
      </w:r>
      <w:r>
        <w:rPr>
          <w:i/>
          <w:iCs/>
          <w:color w:val="000000" w:themeColor="text1"/>
          <w14:textFill>
            <w14:solidFill>
              <w14:schemeClr w14:val="tx1"/>
            </w14:solidFill>
          </w14:textFill>
        </w:rPr>
        <w:t>The Techincal Writers Handbook.</w:t>
      </w:r>
      <w:r>
        <w:rPr>
          <w:color w:val="000000" w:themeColor="text1"/>
          <w14:textFill>
            <w14:solidFill>
              <w14:schemeClr w14:val="tx1"/>
            </w14:solidFill>
          </w14:textFill>
        </w:rPr>
        <w:t xml:space="preserve">  Mill Valley, CA: University Science, 1989.</w:t>
      </w:r>
    </w:p>
    <w:p w14:paraId="57FF8FCD">
      <w:pPr>
        <w:numPr>
          <w:ilvl w:val="0"/>
          <w:numId w:val="3"/>
        </w:numPr>
        <w:jc w:val="both"/>
        <w:rPr>
          <w:color w:val="000000" w:themeColor="text1"/>
          <w14:textFill>
            <w14:solidFill>
              <w14:schemeClr w14:val="tx1"/>
            </w14:solidFill>
          </w14:textFill>
        </w:rPr>
      </w:pPr>
      <w:r>
        <w:rPr>
          <w:color w:val="000000" w:themeColor="text1"/>
          <w:sz w:val="16"/>
          <w:szCs w:val="16"/>
          <w14:textFill>
            <w14:solidFill>
              <w14:schemeClr w14:val="tx1"/>
            </w14:solidFill>
          </w14:textFill>
        </w:rPr>
        <w:t xml:space="preserve"> J. U. Duncombe, “Infrared navigation—Part I: An assessment of feasibility (Periodical style),” </w:t>
      </w:r>
      <w:r>
        <w:rPr>
          <w:i/>
          <w:iCs/>
          <w:color w:val="000000" w:themeColor="text1"/>
          <w:sz w:val="16"/>
          <w:szCs w:val="16"/>
          <w14:textFill>
            <w14:solidFill>
              <w14:schemeClr w14:val="tx1"/>
            </w14:solidFill>
          </w14:textFill>
        </w:rPr>
        <w:t>IEEE Trans. Electron Devices</w:t>
      </w:r>
      <w:r>
        <w:rPr>
          <w:color w:val="000000" w:themeColor="text1"/>
          <w:sz w:val="16"/>
          <w:szCs w:val="16"/>
          <w14:textFill>
            <w14:solidFill>
              <w14:schemeClr w14:val="tx1"/>
            </w14:solidFill>
          </w14:textFill>
        </w:rPr>
        <w:t>, vol. ED-11, pp. 34–39, Jan. 1959.</w:t>
      </w:r>
    </w:p>
    <w:sectPr>
      <w:pgSz w:w="12240" w:h="15840"/>
      <w:pgMar w:top="1080" w:right="1080" w:bottom="1080" w:left="1080" w:header="432" w:footer="432" w:gutter="0"/>
      <w:cols w:space="288" w:num="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w:altName w:val="Times New Roman"/>
    <w:panose1 w:val="02020603050405020304"/>
    <w:charset w:val="00"/>
    <w:family w:val="roman"/>
    <w:pitch w:val="default"/>
    <w:sig w:usb0="00000000" w:usb1="00000000" w:usb2="00000009" w:usb3="00000000" w:csb0="000001FF" w:csb1="00000000"/>
  </w:font>
  <w:font w:name="PMingLiU">
    <w:altName w:val="Microsoft JhengHei UI"/>
    <w:panose1 w:val="02010601000101010101"/>
    <w:charset w:val="88"/>
    <w:family w:val="roman"/>
    <w:pitch w:val="default"/>
    <w:sig w:usb0="00000000" w:usb1="00000000" w:usb2="00000016" w:usb3="00000000" w:csb0="00100001"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Microsoft JhengHei UI">
    <w:panose1 w:val="020B0604030504040204"/>
    <w:charset w:val="88"/>
    <w:family w:val="auto"/>
    <w:pitch w:val="default"/>
    <w:sig w:usb0="000002A7" w:usb1="28CF4400" w:usb2="00000016" w:usb3="00000000" w:csb0="00100009"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footnote>
  <w:footnote w:type="continuationSeparator" w:id="5">
    <w:p/>
  </w:footnote>
  <w:footnote w:id="0">
    <w:p w14:paraId="392EE0B0"/>
    <w:p w14:paraId="3CC1E5AA">
      <w:pPr>
        <w:pStyle w:val="19"/>
      </w:pPr>
    </w:p>
  </w:footnote>
  <w:footnote w:id="1">
    <w:p w14:paraId="6A01E5C6">
      <w:pPr>
        <w:pStyle w:val="19"/>
        <w:ind w:firstLine="0"/>
        <w:rPr>
          <w:b/>
          <w:bCs/>
          <w:i/>
          <w:iCs/>
          <w:color w:val="0066FF"/>
        </w:rPr>
      </w:pPr>
      <w:r>
        <w:rPr>
          <w:b/>
          <w:bCs/>
          <w:i/>
          <w:iCs/>
          <w:color w:val="0066FF"/>
        </w:rPr>
        <w:t>(Footnotes like this may be included as per requirement)</w:t>
      </w:r>
    </w:p>
    <w:p w14:paraId="65D8CA8C">
      <w:pPr>
        <w:pStyle w:val="19"/>
        <w:rPr>
          <w:color w:val="FF0000"/>
        </w:rPr>
      </w:pPr>
      <w:r>
        <w:rPr>
          <w:rStyle w:val="18"/>
          <w:color w:val="FF0000"/>
        </w:rPr>
        <w:footnoteRef/>
      </w:r>
      <w:r>
        <w:rPr>
          <w:color w:val="FF0000"/>
        </w:rPr>
        <w:t>It is recommended that footnotes be avoided (except for the unnumbered footnote with the receipt date on the first page). Instead, try to integrate the footnote information into the text.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upperRoman"/>
      <w:pStyle w:val="2"/>
      <w:lvlText w:val="%1."/>
      <w:legacy w:legacy="1" w:legacySpace="144" w:legacyIndent="144"/>
      <w:lvlJc w:val="left"/>
    </w:lvl>
    <w:lvl w:ilvl="1" w:tentative="0">
      <w:start w:val="1"/>
      <w:numFmt w:val="upperLetter"/>
      <w:pStyle w:val="3"/>
      <w:lvlText w:val="%2."/>
      <w:legacy w:legacy="1" w:legacySpace="144" w:legacyIndent="144"/>
      <w:lvlJc w:val="left"/>
    </w:lvl>
    <w:lvl w:ilvl="2" w:tentative="0">
      <w:start w:val="1"/>
      <w:numFmt w:val="decimal"/>
      <w:pStyle w:val="4"/>
      <w:lvlText w:val="%3)"/>
      <w:legacy w:legacy="1" w:legacySpace="144" w:legacyIndent="144"/>
      <w:lvlJc w:val="left"/>
    </w:lvl>
    <w:lvl w:ilvl="3" w:tentative="0">
      <w:start w:val="1"/>
      <w:numFmt w:val="lowerLetter"/>
      <w:pStyle w:val="5"/>
      <w:lvlText w:val="%4)"/>
      <w:legacy w:legacy="1" w:legacySpace="0" w:legacyIndent="720"/>
      <w:lvlJc w:val="left"/>
      <w:pPr>
        <w:ind w:left="1152" w:hanging="720"/>
      </w:pPr>
    </w:lvl>
    <w:lvl w:ilvl="4" w:tentative="0">
      <w:start w:val="1"/>
      <w:numFmt w:val="decimal"/>
      <w:pStyle w:val="6"/>
      <w:lvlText w:val="(%5)"/>
      <w:legacy w:legacy="1" w:legacySpace="0" w:legacyIndent="720"/>
      <w:lvlJc w:val="left"/>
      <w:pPr>
        <w:ind w:left="1872" w:hanging="720"/>
      </w:pPr>
    </w:lvl>
    <w:lvl w:ilvl="5" w:tentative="0">
      <w:start w:val="1"/>
      <w:numFmt w:val="lowerLetter"/>
      <w:pStyle w:val="7"/>
      <w:lvlText w:val="(%6)"/>
      <w:legacy w:legacy="1" w:legacySpace="0" w:legacyIndent="720"/>
      <w:lvlJc w:val="left"/>
      <w:pPr>
        <w:ind w:left="2592" w:hanging="720"/>
      </w:pPr>
    </w:lvl>
    <w:lvl w:ilvl="6" w:tentative="0">
      <w:start w:val="1"/>
      <w:numFmt w:val="lowerRoman"/>
      <w:pStyle w:val="8"/>
      <w:lvlText w:val="(%7)"/>
      <w:legacy w:legacy="1" w:legacySpace="0" w:legacyIndent="720"/>
      <w:lvlJc w:val="left"/>
      <w:pPr>
        <w:ind w:left="3312" w:hanging="720"/>
      </w:pPr>
    </w:lvl>
    <w:lvl w:ilvl="7" w:tentative="0">
      <w:start w:val="1"/>
      <w:numFmt w:val="lowerLetter"/>
      <w:pStyle w:val="9"/>
      <w:lvlText w:val="(%8)"/>
      <w:legacy w:legacy="1" w:legacySpace="0" w:legacyIndent="720"/>
      <w:lvlJc w:val="left"/>
      <w:pPr>
        <w:ind w:left="4032" w:hanging="720"/>
      </w:pPr>
    </w:lvl>
    <w:lvl w:ilvl="8" w:tentative="0">
      <w:start w:val="1"/>
      <w:numFmt w:val="lowerRoman"/>
      <w:pStyle w:val="10"/>
      <w:lvlText w:val="(%9)"/>
      <w:legacy w:legacy="1" w:legacySpace="0" w:legacyIndent="720"/>
      <w:lvlJc w:val="left"/>
      <w:pPr>
        <w:ind w:left="4752" w:hanging="720"/>
      </w:pPr>
    </w:lvl>
  </w:abstractNum>
  <w:abstractNum w:abstractNumId="1">
    <w:nsid w:val="3A877D64"/>
    <w:multiLevelType w:val="singleLevel"/>
    <w:tmpl w:val="3A877D64"/>
    <w:lvl w:ilvl="0" w:tentative="0">
      <w:start w:val="1"/>
      <w:numFmt w:val="decimal"/>
      <w:pStyle w:val="28"/>
      <w:lvlText w:val="[%1]"/>
      <w:lvlJc w:val="left"/>
      <w:pPr>
        <w:tabs>
          <w:tab w:val="left" w:pos="360"/>
        </w:tabs>
        <w:ind w:left="360" w:hanging="360"/>
      </w:pPr>
    </w:lvl>
  </w:abstractNum>
  <w:abstractNum w:abstractNumId="2">
    <w:nsid w:val="6DC3293B"/>
    <w:multiLevelType w:val="singleLevel"/>
    <w:tmpl w:val="6DC3293B"/>
    <w:lvl w:ilvl="0" w:tentative="0">
      <w:start w:val="1"/>
      <w:numFmt w:val="decimal"/>
      <w:lvlText w:val="[%1]"/>
      <w:lvlJc w:val="left"/>
      <w:pPr>
        <w:tabs>
          <w:tab w:val="left" w:pos="360"/>
        </w:tabs>
        <w:ind w:left="36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202"/>
  <w:displayHorizontalDrawingGridEvery w:val="1"/>
  <w:displayVerticalDrawingGridEvery w:val="1"/>
  <w:noPunctuationKerning w:val="1"/>
  <w:characterSpacingControl w:val="doNotCompress"/>
  <w:footnotePr>
    <w:footnote w:id="4"/>
    <w:footnote w:id="5"/>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069"/>
    <w:rsid w:val="00000B01"/>
    <w:rsid w:val="00017BFD"/>
    <w:rsid w:val="000252D6"/>
    <w:rsid w:val="00031BE4"/>
    <w:rsid w:val="00047FA2"/>
    <w:rsid w:val="000764A9"/>
    <w:rsid w:val="00077FD7"/>
    <w:rsid w:val="000805B8"/>
    <w:rsid w:val="00086B2B"/>
    <w:rsid w:val="000A068D"/>
    <w:rsid w:val="000B7910"/>
    <w:rsid w:val="000C34BD"/>
    <w:rsid w:val="000C74F5"/>
    <w:rsid w:val="000E7319"/>
    <w:rsid w:val="000F5C3B"/>
    <w:rsid w:val="00134E3D"/>
    <w:rsid w:val="0014572C"/>
    <w:rsid w:val="00151D6B"/>
    <w:rsid w:val="00161DD2"/>
    <w:rsid w:val="00165EED"/>
    <w:rsid w:val="00180958"/>
    <w:rsid w:val="00186904"/>
    <w:rsid w:val="001A6161"/>
    <w:rsid w:val="001D6E5B"/>
    <w:rsid w:val="001D7E63"/>
    <w:rsid w:val="001F04ED"/>
    <w:rsid w:val="001F425E"/>
    <w:rsid w:val="00206069"/>
    <w:rsid w:val="0020633C"/>
    <w:rsid w:val="002317A0"/>
    <w:rsid w:val="00240A55"/>
    <w:rsid w:val="0025132C"/>
    <w:rsid w:val="00271E0E"/>
    <w:rsid w:val="00271EAF"/>
    <w:rsid w:val="002726DB"/>
    <w:rsid w:val="00281154"/>
    <w:rsid w:val="00285244"/>
    <w:rsid w:val="002934FD"/>
    <w:rsid w:val="00295C54"/>
    <w:rsid w:val="002B630D"/>
    <w:rsid w:val="002C06AD"/>
    <w:rsid w:val="002E3ACE"/>
    <w:rsid w:val="002E5648"/>
    <w:rsid w:val="0030300D"/>
    <w:rsid w:val="00316E05"/>
    <w:rsid w:val="003345C2"/>
    <w:rsid w:val="00343694"/>
    <w:rsid w:val="00344B5E"/>
    <w:rsid w:val="0034548F"/>
    <w:rsid w:val="00365CAC"/>
    <w:rsid w:val="003A130B"/>
    <w:rsid w:val="003A4C28"/>
    <w:rsid w:val="003B331B"/>
    <w:rsid w:val="003B3CB2"/>
    <w:rsid w:val="003F199B"/>
    <w:rsid w:val="003F7B81"/>
    <w:rsid w:val="00414229"/>
    <w:rsid w:val="004217C9"/>
    <w:rsid w:val="00427646"/>
    <w:rsid w:val="00436B47"/>
    <w:rsid w:val="00437511"/>
    <w:rsid w:val="00453A3D"/>
    <w:rsid w:val="00455345"/>
    <w:rsid w:val="00460D6A"/>
    <w:rsid w:val="00461471"/>
    <w:rsid w:val="00461B4A"/>
    <w:rsid w:val="00465453"/>
    <w:rsid w:val="00491D55"/>
    <w:rsid w:val="0049303D"/>
    <w:rsid w:val="004933A4"/>
    <w:rsid w:val="0049435E"/>
    <w:rsid w:val="00494CB7"/>
    <w:rsid w:val="004B1961"/>
    <w:rsid w:val="004B4583"/>
    <w:rsid w:val="004D71EE"/>
    <w:rsid w:val="00525E3F"/>
    <w:rsid w:val="0052657C"/>
    <w:rsid w:val="00537276"/>
    <w:rsid w:val="0055524F"/>
    <w:rsid w:val="00575B81"/>
    <w:rsid w:val="005A1054"/>
    <w:rsid w:val="005A4D2B"/>
    <w:rsid w:val="005A65F0"/>
    <w:rsid w:val="005C24B3"/>
    <w:rsid w:val="005D4D18"/>
    <w:rsid w:val="005D5DEC"/>
    <w:rsid w:val="005E271D"/>
    <w:rsid w:val="005F5B7A"/>
    <w:rsid w:val="00606E37"/>
    <w:rsid w:val="0062169A"/>
    <w:rsid w:val="00621BC0"/>
    <w:rsid w:val="00635988"/>
    <w:rsid w:val="00642849"/>
    <w:rsid w:val="00644048"/>
    <w:rsid w:val="00647F7A"/>
    <w:rsid w:val="006758B2"/>
    <w:rsid w:val="00676DF7"/>
    <w:rsid w:val="006A3844"/>
    <w:rsid w:val="006B4361"/>
    <w:rsid w:val="006D7309"/>
    <w:rsid w:val="006E3210"/>
    <w:rsid w:val="006F692E"/>
    <w:rsid w:val="007002F3"/>
    <w:rsid w:val="00703857"/>
    <w:rsid w:val="00724311"/>
    <w:rsid w:val="00741AF8"/>
    <w:rsid w:val="00747085"/>
    <w:rsid w:val="0076015C"/>
    <w:rsid w:val="00764B38"/>
    <w:rsid w:val="0078376C"/>
    <w:rsid w:val="007C5272"/>
    <w:rsid w:val="007F596E"/>
    <w:rsid w:val="00813BF5"/>
    <w:rsid w:val="00826362"/>
    <w:rsid w:val="00830EFF"/>
    <w:rsid w:val="00834346"/>
    <w:rsid w:val="00844165"/>
    <w:rsid w:val="00854611"/>
    <w:rsid w:val="0087297F"/>
    <w:rsid w:val="00872E72"/>
    <w:rsid w:val="008A32AA"/>
    <w:rsid w:val="008D12BD"/>
    <w:rsid w:val="008D3F0D"/>
    <w:rsid w:val="008D427A"/>
    <w:rsid w:val="008E0892"/>
    <w:rsid w:val="008E59FF"/>
    <w:rsid w:val="009033F9"/>
    <w:rsid w:val="009106C2"/>
    <w:rsid w:val="009171C7"/>
    <w:rsid w:val="009468AE"/>
    <w:rsid w:val="00953A31"/>
    <w:rsid w:val="00962112"/>
    <w:rsid w:val="00984562"/>
    <w:rsid w:val="00990267"/>
    <w:rsid w:val="00990A70"/>
    <w:rsid w:val="009D7280"/>
    <w:rsid w:val="009F640B"/>
    <w:rsid w:val="00A03D16"/>
    <w:rsid w:val="00A12851"/>
    <w:rsid w:val="00A169F3"/>
    <w:rsid w:val="00A41838"/>
    <w:rsid w:val="00A507DD"/>
    <w:rsid w:val="00A50BD6"/>
    <w:rsid w:val="00A93F7B"/>
    <w:rsid w:val="00A95BBD"/>
    <w:rsid w:val="00AA3BA0"/>
    <w:rsid w:val="00AB41DD"/>
    <w:rsid w:val="00AC32EE"/>
    <w:rsid w:val="00AD3466"/>
    <w:rsid w:val="00AD4D27"/>
    <w:rsid w:val="00AE48CB"/>
    <w:rsid w:val="00B145D1"/>
    <w:rsid w:val="00B326C2"/>
    <w:rsid w:val="00B47127"/>
    <w:rsid w:val="00B504D8"/>
    <w:rsid w:val="00B50DEF"/>
    <w:rsid w:val="00B66142"/>
    <w:rsid w:val="00B83856"/>
    <w:rsid w:val="00B96ED1"/>
    <w:rsid w:val="00BB104A"/>
    <w:rsid w:val="00BB2277"/>
    <w:rsid w:val="00BC54CE"/>
    <w:rsid w:val="00BE5007"/>
    <w:rsid w:val="00BE55C5"/>
    <w:rsid w:val="00C339D5"/>
    <w:rsid w:val="00C425DB"/>
    <w:rsid w:val="00C55592"/>
    <w:rsid w:val="00C7234E"/>
    <w:rsid w:val="00C7596F"/>
    <w:rsid w:val="00CB0E16"/>
    <w:rsid w:val="00CB6C44"/>
    <w:rsid w:val="00CB766C"/>
    <w:rsid w:val="00CE6C29"/>
    <w:rsid w:val="00CE79C0"/>
    <w:rsid w:val="00D06D5A"/>
    <w:rsid w:val="00D23315"/>
    <w:rsid w:val="00D23D0F"/>
    <w:rsid w:val="00D31E02"/>
    <w:rsid w:val="00D44550"/>
    <w:rsid w:val="00D47EDF"/>
    <w:rsid w:val="00D86D5F"/>
    <w:rsid w:val="00D871C5"/>
    <w:rsid w:val="00DC5311"/>
    <w:rsid w:val="00DC5958"/>
    <w:rsid w:val="00DC5B10"/>
    <w:rsid w:val="00DC767E"/>
    <w:rsid w:val="00DD5451"/>
    <w:rsid w:val="00DE2F2C"/>
    <w:rsid w:val="00DE66B3"/>
    <w:rsid w:val="00E0279B"/>
    <w:rsid w:val="00E1273E"/>
    <w:rsid w:val="00E13602"/>
    <w:rsid w:val="00E54EBB"/>
    <w:rsid w:val="00E87F7A"/>
    <w:rsid w:val="00E9397F"/>
    <w:rsid w:val="00E95079"/>
    <w:rsid w:val="00ED6996"/>
    <w:rsid w:val="00EE2E0D"/>
    <w:rsid w:val="00EF526F"/>
    <w:rsid w:val="00EF5477"/>
    <w:rsid w:val="00F0071E"/>
    <w:rsid w:val="00F050E7"/>
    <w:rsid w:val="00F10E2F"/>
    <w:rsid w:val="00F20622"/>
    <w:rsid w:val="00F26152"/>
    <w:rsid w:val="00F74073"/>
    <w:rsid w:val="00F85156"/>
    <w:rsid w:val="00F97355"/>
    <w:rsid w:val="00FA0AC5"/>
    <w:rsid w:val="00FB7E34"/>
    <w:rsid w:val="00FC6746"/>
    <w:rsid w:val="5A026E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nhideWhenUsed="0" w:uiPriority="0" w:name="footnote text"/>
    <w:lsdException w:uiPriority="0" w:name="annotation text"/>
    <w:lsdException w:unhideWhenUsed="0" w:uiPriority="99"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nhideWhenUsed="0"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utoSpaceDE w:val="0"/>
      <w:autoSpaceDN w:val="0"/>
    </w:pPr>
    <w:rPr>
      <w:rFonts w:ascii="Times New Roman" w:hAnsi="Times New Roman" w:eastAsia="Times New Roman" w:cs="Times New Roman"/>
      <w:lang w:val="en-US" w:eastAsia="en-US" w:bidi="ar-SA"/>
    </w:rPr>
  </w:style>
  <w:style w:type="paragraph" w:styleId="2">
    <w:name w:val="heading 1"/>
    <w:basedOn w:val="1"/>
    <w:next w:val="1"/>
    <w:qFormat/>
    <w:uiPriority w:val="0"/>
    <w:pPr>
      <w:keepNext/>
      <w:numPr>
        <w:ilvl w:val="0"/>
        <w:numId w:val="1"/>
      </w:numPr>
      <w:spacing w:before="240" w:after="80"/>
      <w:jc w:val="center"/>
      <w:outlineLvl w:val="0"/>
    </w:pPr>
    <w:rPr>
      <w:smallCaps/>
      <w:kern w:val="28"/>
    </w:rPr>
  </w:style>
  <w:style w:type="paragraph" w:styleId="3">
    <w:name w:val="heading 2"/>
    <w:basedOn w:val="1"/>
    <w:next w:val="1"/>
    <w:qFormat/>
    <w:uiPriority w:val="0"/>
    <w:pPr>
      <w:keepNext/>
      <w:numPr>
        <w:ilvl w:val="1"/>
        <w:numId w:val="1"/>
      </w:numPr>
      <w:spacing w:before="120" w:after="60"/>
      <w:ind w:left="144"/>
      <w:outlineLvl w:val="1"/>
    </w:pPr>
    <w:rPr>
      <w:i/>
      <w:iCs/>
    </w:rPr>
  </w:style>
  <w:style w:type="paragraph" w:styleId="4">
    <w:name w:val="heading 3"/>
    <w:basedOn w:val="1"/>
    <w:next w:val="1"/>
    <w:qFormat/>
    <w:uiPriority w:val="0"/>
    <w:pPr>
      <w:keepNext/>
      <w:numPr>
        <w:ilvl w:val="2"/>
        <w:numId w:val="1"/>
      </w:numPr>
      <w:ind w:left="288"/>
      <w:outlineLvl w:val="2"/>
    </w:pPr>
    <w:rPr>
      <w:i/>
      <w:iCs/>
    </w:rPr>
  </w:style>
  <w:style w:type="paragraph" w:styleId="5">
    <w:name w:val="heading 4"/>
    <w:basedOn w:val="1"/>
    <w:next w:val="1"/>
    <w:qFormat/>
    <w:uiPriority w:val="0"/>
    <w:pPr>
      <w:keepNext/>
      <w:numPr>
        <w:ilvl w:val="3"/>
        <w:numId w:val="1"/>
      </w:numPr>
      <w:spacing w:before="240" w:after="60"/>
      <w:outlineLvl w:val="3"/>
    </w:pPr>
    <w:rPr>
      <w:i/>
      <w:iCs/>
      <w:sz w:val="18"/>
      <w:szCs w:val="18"/>
    </w:rPr>
  </w:style>
  <w:style w:type="paragraph" w:styleId="6">
    <w:name w:val="heading 5"/>
    <w:basedOn w:val="1"/>
    <w:next w:val="1"/>
    <w:qFormat/>
    <w:uiPriority w:val="0"/>
    <w:pPr>
      <w:numPr>
        <w:ilvl w:val="4"/>
        <w:numId w:val="1"/>
      </w:numPr>
      <w:spacing w:before="240" w:after="60"/>
      <w:outlineLvl w:val="4"/>
    </w:pPr>
    <w:rPr>
      <w:sz w:val="18"/>
      <w:szCs w:val="18"/>
    </w:rPr>
  </w:style>
  <w:style w:type="paragraph" w:styleId="7">
    <w:name w:val="heading 6"/>
    <w:basedOn w:val="1"/>
    <w:next w:val="1"/>
    <w:qFormat/>
    <w:uiPriority w:val="0"/>
    <w:pPr>
      <w:numPr>
        <w:ilvl w:val="5"/>
        <w:numId w:val="1"/>
      </w:numPr>
      <w:spacing w:before="240" w:after="60"/>
      <w:outlineLvl w:val="5"/>
    </w:pPr>
    <w:rPr>
      <w:i/>
      <w:iCs/>
      <w:sz w:val="16"/>
      <w:szCs w:val="16"/>
    </w:rPr>
  </w:style>
  <w:style w:type="paragraph" w:styleId="8">
    <w:name w:val="heading 7"/>
    <w:basedOn w:val="1"/>
    <w:next w:val="1"/>
    <w:qFormat/>
    <w:uiPriority w:val="0"/>
    <w:pPr>
      <w:numPr>
        <w:ilvl w:val="6"/>
        <w:numId w:val="1"/>
      </w:numPr>
      <w:spacing w:before="240" w:after="60"/>
      <w:outlineLvl w:val="6"/>
    </w:pPr>
    <w:rPr>
      <w:sz w:val="16"/>
      <w:szCs w:val="16"/>
    </w:rPr>
  </w:style>
  <w:style w:type="paragraph" w:styleId="9">
    <w:name w:val="heading 8"/>
    <w:basedOn w:val="1"/>
    <w:next w:val="1"/>
    <w:qFormat/>
    <w:uiPriority w:val="0"/>
    <w:pPr>
      <w:numPr>
        <w:ilvl w:val="7"/>
        <w:numId w:val="1"/>
      </w:numPr>
      <w:spacing w:before="240" w:after="60"/>
      <w:outlineLvl w:val="7"/>
    </w:pPr>
    <w:rPr>
      <w:i/>
      <w:iCs/>
      <w:sz w:val="16"/>
      <w:szCs w:val="16"/>
    </w:rPr>
  </w:style>
  <w:style w:type="paragraph" w:styleId="10">
    <w:name w:val="heading 9"/>
    <w:basedOn w:val="1"/>
    <w:next w:val="1"/>
    <w:qFormat/>
    <w:uiPriority w:val="0"/>
    <w:pPr>
      <w:numPr>
        <w:ilvl w:val="8"/>
        <w:numId w:val="1"/>
      </w:numPr>
      <w:spacing w:before="240" w:after="60"/>
      <w:outlineLvl w:val="8"/>
    </w:pPr>
    <w:rPr>
      <w:sz w:val="16"/>
      <w:szCs w:val="16"/>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41"/>
    <w:uiPriority w:val="0"/>
    <w:rPr>
      <w:rFonts w:ascii="Tahoma" w:hAnsi="Tahoma" w:cs="Tahoma"/>
      <w:sz w:val="16"/>
      <w:szCs w:val="16"/>
    </w:rPr>
  </w:style>
  <w:style w:type="paragraph" w:styleId="14">
    <w:name w:val="Body Text Indent"/>
    <w:basedOn w:val="1"/>
    <w:uiPriority w:val="0"/>
    <w:pPr>
      <w:ind w:left="630" w:hanging="630"/>
    </w:pPr>
    <w:rPr>
      <w:szCs w:val="24"/>
    </w:rPr>
  </w:style>
  <w:style w:type="character" w:styleId="15">
    <w:name w:val="Emphasis"/>
    <w:basedOn w:val="11"/>
    <w:qFormat/>
    <w:uiPriority w:val="20"/>
    <w:rPr>
      <w:i/>
      <w:iCs/>
    </w:rPr>
  </w:style>
  <w:style w:type="character" w:styleId="16">
    <w:name w:val="FollowedHyperlink"/>
    <w:basedOn w:val="11"/>
    <w:uiPriority w:val="0"/>
    <w:rPr>
      <w:color w:val="800080"/>
      <w:u w:val="single"/>
    </w:rPr>
  </w:style>
  <w:style w:type="paragraph" w:styleId="17">
    <w:name w:val="footer"/>
    <w:basedOn w:val="1"/>
    <w:uiPriority w:val="0"/>
    <w:pPr>
      <w:tabs>
        <w:tab w:val="center" w:pos="4320"/>
        <w:tab w:val="right" w:pos="8640"/>
      </w:tabs>
    </w:pPr>
  </w:style>
  <w:style w:type="character" w:styleId="18">
    <w:name w:val="footnote reference"/>
    <w:basedOn w:val="11"/>
    <w:semiHidden/>
    <w:uiPriority w:val="0"/>
    <w:rPr>
      <w:vertAlign w:val="superscript"/>
    </w:rPr>
  </w:style>
  <w:style w:type="paragraph" w:styleId="19">
    <w:name w:val="footnote text"/>
    <w:basedOn w:val="1"/>
    <w:link w:val="43"/>
    <w:semiHidden/>
    <w:uiPriority w:val="0"/>
    <w:pPr>
      <w:ind w:firstLine="202"/>
      <w:jc w:val="both"/>
    </w:pPr>
    <w:rPr>
      <w:sz w:val="16"/>
      <w:szCs w:val="16"/>
    </w:rPr>
  </w:style>
  <w:style w:type="paragraph" w:styleId="20">
    <w:name w:val="header"/>
    <w:basedOn w:val="1"/>
    <w:link w:val="42"/>
    <w:uiPriority w:val="99"/>
    <w:pPr>
      <w:tabs>
        <w:tab w:val="center" w:pos="4320"/>
        <w:tab w:val="right" w:pos="8640"/>
      </w:tabs>
    </w:pPr>
  </w:style>
  <w:style w:type="character" w:styleId="21">
    <w:name w:val="Hyperlink"/>
    <w:basedOn w:val="11"/>
    <w:uiPriority w:val="0"/>
    <w:rPr>
      <w:color w:val="0000FF"/>
      <w:u w:val="single"/>
    </w:rPr>
  </w:style>
  <w:style w:type="paragraph" w:styleId="22">
    <w:name w:val="Normal (Web)"/>
    <w:basedOn w:val="1"/>
    <w:unhideWhenUsed/>
    <w:uiPriority w:val="99"/>
    <w:pPr>
      <w:autoSpaceDE/>
      <w:autoSpaceDN/>
      <w:spacing w:before="100" w:beforeAutospacing="1" w:after="100" w:afterAutospacing="1"/>
    </w:pPr>
    <w:rPr>
      <w:sz w:val="24"/>
      <w:szCs w:val="24"/>
      <w:lang w:val="en-IN" w:eastAsia="en-IN"/>
    </w:rPr>
  </w:style>
  <w:style w:type="character" w:styleId="23">
    <w:name w:val="Strong"/>
    <w:basedOn w:val="11"/>
    <w:qFormat/>
    <w:uiPriority w:val="22"/>
    <w:rPr>
      <w:b/>
      <w:bCs/>
    </w:rPr>
  </w:style>
  <w:style w:type="paragraph" w:styleId="24">
    <w:name w:val="Title"/>
    <w:basedOn w:val="1"/>
    <w:next w:val="1"/>
    <w:qFormat/>
    <w:uiPriority w:val="0"/>
    <w:pPr>
      <w:framePr w:w="9360" w:hSpace="187" w:vSpace="187" w:wrap="notBeside" w:vAnchor="text" w:hAnchor="page" w:xAlign="center" w:y="1" w:anchorLock="1"/>
      <w:spacing w:before="360"/>
      <w:jc w:val="center"/>
    </w:pPr>
    <w:rPr>
      <w:b/>
      <w:kern w:val="28"/>
      <w:sz w:val="32"/>
      <w:szCs w:val="48"/>
    </w:rPr>
  </w:style>
  <w:style w:type="paragraph" w:customStyle="1" w:styleId="25">
    <w:name w:val="Abstract"/>
    <w:basedOn w:val="1"/>
    <w:next w:val="1"/>
    <w:uiPriority w:val="0"/>
    <w:pPr>
      <w:spacing w:before="20"/>
      <w:ind w:firstLine="202"/>
      <w:jc w:val="both"/>
    </w:pPr>
    <w:rPr>
      <w:b/>
      <w:bCs/>
      <w:sz w:val="18"/>
      <w:szCs w:val="18"/>
    </w:rPr>
  </w:style>
  <w:style w:type="paragraph" w:customStyle="1" w:styleId="26">
    <w:name w:val="Authors"/>
    <w:basedOn w:val="1"/>
    <w:next w:val="1"/>
    <w:uiPriority w:val="0"/>
    <w:pPr>
      <w:framePr w:w="9072" w:hSpace="187" w:vSpace="187" w:wrap="notBeside" w:vAnchor="text" w:hAnchor="page" w:xAlign="center" w:y="1"/>
      <w:spacing w:after="320"/>
      <w:jc w:val="center"/>
    </w:pPr>
    <w:rPr>
      <w:sz w:val="22"/>
      <w:szCs w:val="22"/>
    </w:rPr>
  </w:style>
  <w:style w:type="character" w:customStyle="1" w:styleId="27">
    <w:name w:val="MemberType"/>
    <w:basedOn w:val="11"/>
    <w:uiPriority w:val="0"/>
    <w:rPr>
      <w:rFonts w:ascii="Times New Roman" w:hAnsi="Times New Roman" w:cs="Times New Roman"/>
      <w:i/>
      <w:iCs/>
      <w:sz w:val="22"/>
      <w:szCs w:val="22"/>
    </w:rPr>
  </w:style>
  <w:style w:type="paragraph" w:customStyle="1" w:styleId="28">
    <w:name w:val="References"/>
    <w:basedOn w:val="1"/>
    <w:uiPriority w:val="0"/>
    <w:pPr>
      <w:numPr>
        <w:ilvl w:val="0"/>
        <w:numId w:val="2"/>
      </w:numPr>
      <w:jc w:val="both"/>
    </w:pPr>
    <w:rPr>
      <w:sz w:val="16"/>
      <w:szCs w:val="16"/>
    </w:rPr>
  </w:style>
  <w:style w:type="paragraph" w:customStyle="1" w:styleId="29">
    <w:name w:val="IndexTerms"/>
    <w:basedOn w:val="1"/>
    <w:next w:val="1"/>
    <w:uiPriority w:val="0"/>
    <w:pPr>
      <w:ind w:firstLine="202"/>
      <w:jc w:val="both"/>
    </w:pPr>
    <w:rPr>
      <w:b/>
      <w:bCs/>
      <w:sz w:val="18"/>
      <w:szCs w:val="18"/>
    </w:rPr>
  </w:style>
  <w:style w:type="paragraph" w:customStyle="1" w:styleId="30">
    <w:name w:val="Text"/>
    <w:basedOn w:val="1"/>
    <w:uiPriority w:val="0"/>
    <w:pPr>
      <w:widowControl w:val="0"/>
      <w:spacing w:line="252" w:lineRule="auto"/>
      <w:ind w:firstLine="202"/>
      <w:jc w:val="both"/>
    </w:pPr>
  </w:style>
  <w:style w:type="paragraph" w:customStyle="1" w:styleId="31">
    <w:name w:val="Figure Caption"/>
    <w:basedOn w:val="1"/>
    <w:uiPriority w:val="0"/>
    <w:pPr>
      <w:jc w:val="both"/>
    </w:pPr>
    <w:rPr>
      <w:sz w:val="16"/>
      <w:szCs w:val="16"/>
    </w:rPr>
  </w:style>
  <w:style w:type="paragraph" w:customStyle="1" w:styleId="32">
    <w:name w:val="Table Title"/>
    <w:basedOn w:val="1"/>
    <w:uiPriority w:val="0"/>
    <w:pPr>
      <w:jc w:val="center"/>
    </w:pPr>
    <w:rPr>
      <w:smallCaps/>
      <w:sz w:val="16"/>
      <w:szCs w:val="16"/>
    </w:rPr>
  </w:style>
  <w:style w:type="paragraph" w:customStyle="1" w:styleId="33">
    <w:name w:val="Reference Head"/>
    <w:basedOn w:val="2"/>
    <w:uiPriority w:val="0"/>
    <w:pPr>
      <w:numPr>
        <w:numId w:val="0"/>
      </w:numPr>
    </w:pPr>
  </w:style>
  <w:style w:type="paragraph" w:customStyle="1" w:styleId="34">
    <w:name w:val="Equation"/>
    <w:basedOn w:val="1"/>
    <w:next w:val="1"/>
    <w:uiPriority w:val="0"/>
    <w:pPr>
      <w:widowControl w:val="0"/>
      <w:tabs>
        <w:tab w:val="right" w:pos="4810"/>
      </w:tabs>
      <w:spacing w:line="252" w:lineRule="auto"/>
      <w:jc w:val="both"/>
    </w:pPr>
  </w:style>
  <w:style w:type="paragraph" w:customStyle="1" w:styleId="35">
    <w:name w:val="Default Paragraph Font1"/>
    <w:next w:val="1"/>
    <w:uiPriority w:val="0"/>
    <w:pPr>
      <w:overflowPunct w:val="0"/>
      <w:autoSpaceDE w:val="0"/>
      <w:autoSpaceDN w:val="0"/>
      <w:adjustRightInd w:val="0"/>
      <w:textAlignment w:val="baseline"/>
    </w:pPr>
    <w:rPr>
      <w:rFonts w:ascii="Times" w:hAnsi="Times" w:eastAsia="PMingLiU" w:cs="Times New Roman"/>
      <w:lang w:val="en-US" w:eastAsia="zh-TW" w:bidi="ar-SA"/>
    </w:rPr>
  </w:style>
  <w:style w:type="paragraph" w:customStyle="1" w:styleId="36">
    <w:name w:val="abs-title"/>
    <w:basedOn w:val="35"/>
    <w:uiPriority w:val="0"/>
    <w:pPr>
      <w:ind w:firstLine="14"/>
      <w:jc w:val="both"/>
    </w:pPr>
    <w:rPr>
      <w:b/>
      <w:bCs/>
      <w:i/>
      <w:iCs/>
      <w:sz w:val="18"/>
    </w:rPr>
  </w:style>
  <w:style w:type="paragraph" w:customStyle="1" w:styleId="37">
    <w:name w:val="body-text"/>
    <w:qFormat/>
    <w:uiPriority w:val="0"/>
    <w:pPr>
      <w:ind w:firstLine="230"/>
      <w:jc w:val="both"/>
    </w:pPr>
    <w:rPr>
      <w:rFonts w:ascii="Times" w:hAnsi="Times" w:eastAsia="Times New Roman" w:cs="Times New Roman"/>
      <w:color w:val="000000"/>
      <w:lang w:val="en-US" w:eastAsia="en-US" w:bidi="ar-SA"/>
    </w:rPr>
  </w:style>
  <w:style w:type="paragraph" w:customStyle="1" w:styleId="38">
    <w:name w:val="table-figure-caption"/>
    <w:basedOn w:val="37"/>
    <w:uiPriority w:val="0"/>
    <w:pPr>
      <w:spacing w:before="60" w:after="120"/>
      <w:ind w:firstLine="0"/>
      <w:jc w:val="center"/>
    </w:pPr>
    <w:rPr>
      <w:sz w:val="18"/>
    </w:rPr>
  </w:style>
  <w:style w:type="paragraph" w:customStyle="1" w:styleId="39">
    <w:name w:val="footnote"/>
    <w:basedOn w:val="19"/>
    <w:uiPriority w:val="0"/>
    <w:pPr>
      <w:overflowPunct w:val="0"/>
      <w:adjustRightInd w:val="0"/>
      <w:ind w:firstLine="346"/>
      <w:jc w:val="left"/>
      <w:textAlignment w:val="baseline"/>
    </w:pPr>
    <w:rPr>
      <w:rFonts w:ascii="Times" w:hAnsi="Times" w:eastAsia="PMingLiU"/>
      <w:szCs w:val="20"/>
      <w:lang w:val="en-AU" w:eastAsia="zh-TW"/>
    </w:rPr>
  </w:style>
  <w:style w:type="paragraph" w:customStyle="1" w:styleId="40">
    <w:name w:val="subsection-title"/>
    <w:basedOn w:val="3"/>
    <w:uiPriority w:val="0"/>
    <w:pPr>
      <w:numPr>
        <w:ilvl w:val="0"/>
        <w:numId w:val="0"/>
      </w:numPr>
      <w:overflowPunct w:val="0"/>
      <w:adjustRightInd w:val="0"/>
      <w:spacing w:before="60"/>
      <w:ind w:firstLine="43"/>
      <w:textAlignment w:val="baseline"/>
    </w:pPr>
    <w:rPr>
      <w:rFonts w:ascii="Times" w:hAnsi="Times" w:eastAsia="PMingLiU"/>
      <w:b/>
      <w:bCs/>
      <w:szCs w:val="24"/>
      <w:lang w:eastAsia="zh-TW"/>
    </w:rPr>
  </w:style>
  <w:style w:type="character" w:customStyle="1" w:styleId="41">
    <w:name w:val="Balloon Text Char"/>
    <w:basedOn w:val="11"/>
    <w:link w:val="13"/>
    <w:uiPriority w:val="0"/>
    <w:rPr>
      <w:rFonts w:ascii="Tahoma" w:hAnsi="Tahoma" w:cs="Tahoma"/>
      <w:sz w:val="16"/>
      <w:szCs w:val="16"/>
      <w:lang w:bidi="ar-SA"/>
    </w:rPr>
  </w:style>
  <w:style w:type="character" w:customStyle="1" w:styleId="42">
    <w:name w:val="Header Char"/>
    <w:basedOn w:val="11"/>
    <w:link w:val="20"/>
    <w:uiPriority w:val="99"/>
    <w:rPr>
      <w:lang w:bidi="ar-SA"/>
    </w:rPr>
  </w:style>
  <w:style w:type="character" w:customStyle="1" w:styleId="43">
    <w:name w:val="Footnote Text Char"/>
    <w:basedOn w:val="11"/>
    <w:link w:val="19"/>
    <w:semiHidden/>
    <w:uiPriority w:val="0"/>
    <w:rPr>
      <w:sz w:val="16"/>
      <w:szCs w:val="16"/>
      <w:lang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wmf"/><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wmf"/><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ieee_letter_word_PAPER%20template%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ieee_letter_word_PAPER template 2</Template>
  <Company>IEEE</Company>
  <Pages>8</Pages>
  <Words>3879</Words>
  <Characters>22115</Characters>
  <Lines>184</Lines>
  <Paragraphs>51</Paragraphs>
  <TotalTime>781</TotalTime>
  <ScaleCrop>false</ScaleCrop>
  <LinksUpToDate>false</LinksUpToDate>
  <CharactersWithSpaces>25943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2025-11-30T14:51:00Z</dcterms:created>
  <dc:creator>Khare-Sir</dc:creator>
  <cp:lastModifiedBy>PATIL ARCHINI</cp:lastModifiedBy>
  <cp:lastPrinted>2003-06-06T06:20:00Z</cp:lastPrinted>
  <dcterms:modified xsi:type="dcterms:W3CDTF">2025-12-04T22:03:47Z</dcterms:modified>
  <dc:subject>IEEE Transactions on Magnetics</dc:subject>
  <dc:titl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C4C2EF89498E49F48D7E2713FD4CABF0_12</vt:lpwstr>
  </property>
</Properties>
</file>