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pBdr>
          <w:bottom w:val="single" w:color="2E75B6" w:sz="12" w:space="12"/>
        </w:pBdr>
        <w:spacing w:after="120"/>
        <w:jc w:val="center"/>
      </w:pPr>
      <w:r>
        <w:rPr>
          <w:b/>
          <w:bCs/>
          <w:color w:val="1F4E79"/>
          <w:sz w:val="56"/>
          <w:szCs w:val="56"/>
        </w:rPr>
        <w:t xml:space="preserve">Deployment Guide</w:t>
      </w:r>
    </w:p>
    <w:p>
      <w:pPr>
        <w:spacing w:after="80" w:before="240"/>
        <w:jc w:val="center"/>
      </w:pPr>
      <w:r>
        <w:rPr>
          <w:b/>
          <w:bCs/>
          <w:sz w:val="32"/>
          <w:szCs w:val="32"/>
        </w:rPr>
        <w:t xml:space="preserve">CFA Technical Object Characteristics Report</w:t>
      </w:r>
    </w:p>
    <w:p>
      <w:pPr>
        <w:spacing w:after="600"/>
        <w:jc w:val="center"/>
      </w:pPr>
      <w:r>
        <w:rPr>
          <w:i/>
          <w:iCs/>
          <w:color w:val="595959"/>
          <w:sz w:val="26"/>
          <w:szCs w:val="26"/>
        </w:rPr>
        <w:t xml:space="preserve">Standalone SAPUI5 application on SAP BTP, Cloud Foundry</w:t>
      </w:r>
    </w:p>
    <w:p>
      <w:pPr>
        <w:spacing w:before="20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Application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cfa-characteristics-report (v1.0.0)</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Application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com.cfa.charlist</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Platform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SAP BTP – Cloud Foundry (standalone approuter)</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SAP S/4HANA Public Cloud (OData V2)</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Packaging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Multi-Target Application (MTA)</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Document 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June 2026</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Author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shaun.bradridge@betadigital.com.au</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review / approval</w:t>
            </w:r>
          </w:p>
        </w:tc>
      </w:tr>
    </w:tbl>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r>
        <w:t xml:space="preserve">This document is the deployment guide and change record for the CFA Technical Object Characteristics Report, a standalone SAPUI5 application deployed to SAP Business Technology Platform (BTP) on the Cloud Foundry runtime. The application replaces the standard “Find Objects in Classes” capability with a List-Report-style view: the user selects a Class Type and Class, and the app renders every classified technical object (Equipment or Functional Location) with one dynamically generated column per class characteristic.</w:t>
      </w:r>
    </w:p>
    <w:p>
      <w:r>
        <w:t xml:space="preserve"/>
      </w:r>
    </w:p>
    <w:p>
      <w:r>
        <w:t xml:space="preserve">The application is delivered as a Multi-Target Application (MTA). It contains no business logic of its own beyond the UI; all data is read at runtime from four released SAP S/4HANA Public Cloud OData V2 APIs, proxied through a standalone @sap/approuter to the BTP destination S4HC_Connection. There is no HTML5 Application Repository and no Fiori Launchpad tile — the app is reached directly via the approuter route.</w:t>
      </w:r>
    </w:p>
    <w:p>
      <w:r>
        <w:t xml:space="preserve"/>
      </w:r>
    </w:p>
    <w:p>
      <w:pPr>
        <w:pStyle w:val="Heading2"/>
      </w:pPr>
      <w:r>
        <w:t xml:space="preserve">1.1 Deployment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cfa-charlist-ui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Build-only HTML5 module. Runs npm install + npm run build, emits dist/. Deploys nothing itself; output is fed to the approuter.</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cfa-charlist-approuter</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Standalone Node.js approuter. Serves the built UI5 app from resources/ and routes /sap/opu/odata/sap/* to the S4HC_Connection destination (xsuaa auth, CSRF).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cfa-charlist-uaa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Managed xsuaa service instance (plan: application), configured from xs-security.json.</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cfa-charlist-dest</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Managed destination service instance (plan: lite), so the approuter can read the subaccount-level S4HC_Connection destination.</w:t>
            </w:r>
          </w:p>
        </w:tc>
      </w:tr>
    </w:tbl>
    <w:p>
      <w:r>
        <w:t xml:space="preserve"/>
      </w:r>
    </w:p>
    <w:p>
      <w:pPr>
        <w:pStyle w:val="Heading2"/>
      </w:pPr>
      <w:r>
        <w:t xml:space="preserve">1.2 Backend APIs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Service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Model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Used for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API_CLFN_CLASS_SRV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class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Class picker + ordered characteristic list (dynamic columns)</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API_CLFN_CHARACTERISTIC_SRV</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charc</w:t>
            </w:r>
          </w:p>
        </w:tc>
        <w:tc>
          <w:tcPr>
            <w:tcW w:type="dxa" w:w="3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Characteristic metadata for cell formatting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API_EQUIPMENT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equipment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Equipment characteristic values + header (Class Type 002)</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API_FUNCTIONALLOCATION</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funcloc</w:t>
            </w:r>
          </w:p>
        </w:tc>
        <w:tc>
          <w:tcPr>
            <w:tcW w:type="dxa" w:w="3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Functional Location values + header (Class Type 003)</w:t>
            </w:r>
          </w:p>
        </w:tc>
      </w:tr>
    </w:tbl>
    <w:p>
      <w:r>
        <w:br w:type="page"/>
      </w:r>
    </w:p>
    <w:p>
      <w:pPr>
        <w:pStyle w:val="Heading1"/>
      </w:pPr>
      <w:r>
        <w:t xml:space="preserve">2. Implementation Plan</w:t>
      </w:r>
    </w:p>
    <w:p>
      <w:r>
        <w:t xml:space="preserve">The deployment is performed by a release engineer with Cloud Foundry Space Developer authority in the target BTP subaccount. All steps are run from a machine with the Cloud Foundry CLI and the Cloud MTA Build Tool installed. The plan assumes the prerequisites in section 2.1 are already satisfied by the BTP administrator.</w:t>
      </w:r>
    </w:p>
    <w:p>
      <w:pPr>
        <w:pStyle w:val="Heading2"/>
      </w:pPr>
      <w: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Prerequisite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Detail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BTP subaccount &amp; space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Cloud Foundry org/space provisioned; deployer has the Space Developer role.</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Service entitlements</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Entitlements for xsuaa (application plan) and destination (lite plan) assigned to the subaccount.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Destination S4HC_Connection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Subaccount-level destination to the S/4HANA Public Cloud tenant. Auth: OAuth2ClientCredentials (or BasicAuthentication) using a Communication User.</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Communication arrangements</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Communication User authorised for the Classification, Equipment, and Functional Location communication scenarios on the S/4HANA tenant.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redirect-uris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oauth2-configuration.redirect-uris in xs-security.json covers the landscape domain (shipped value: https://*.hana.ondemand.com/**).</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Tooling</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Node.js 18+, Cloud Foundry CLI, mbt (Cloud MTA Build Tool), and the multiapps CF CLI plugin.</w:t>
            </w:r>
          </w:p>
        </w:tc>
      </w:tr>
    </w:tbl>
    <w:p>
      <w:pPr>
        <w:pStyle w:val="Heading2"/>
      </w:pPr>
      <w:r>
        <w:t xml:space="preserve">2.2 One-time tooling setup</w:t>
      </w:r>
    </w:p>
    <w:p>
      <w:pPr>
        <w:shd w:fill="F2F2F2" w:val="clear"/>
        <w:spacing w:after="20" w:before="20"/>
      </w:pPr>
      <w:r>
        <w:rPr>
          <w:rFonts w:ascii="Consolas" w:cs="Consolas" w:eastAsia="Consolas" w:hAnsi="Consolas"/>
          <w:sz w:val="20"/>
          <w:szCs w:val="20"/>
        </w:rPr>
        <w:t xml:space="preserve">npm install -g mbt</w:t>
      </w:r>
    </w:p>
    <w:p>
      <w:pPr>
        <w:shd w:fill="F2F2F2" w:val="clear"/>
        <w:spacing w:after="20" w:before="20"/>
      </w:pPr>
      <w:r>
        <w:rPr>
          <w:rFonts w:ascii="Consolas" w:cs="Consolas" w:eastAsia="Consolas" w:hAnsi="Consolas"/>
          <w:sz w:val="20"/>
          <w:szCs w:val="20"/>
        </w:rPr>
        <w:t xml:space="preserve">cf install-plugin multiapps</w:t>
      </w:r>
    </w:p>
    <w:p>
      <w:pPr>
        <w:pStyle w:val="Heading2"/>
      </w:pPr>
      <w:r>
        <w:t xml:space="preserve">2.3 Deployment steps</w:t>
      </w:r>
    </w:p>
    <w:p>
      <w:pPr>
        <w:pStyle w:val="ListParagraph"/>
        <w:numPr>
          <w:ilvl w:val="0"/>
          <w:numId w:val="2"/>
        </w:numPr>
      </w:pPr>
      <w:r>
        <w:t xml:space="preserve">Confirm the prerequisites in section 2.1 with the BTP administrator. Do not proceed until the destination and communication arrangements are verified.</w:t>
      </w:r>
    </w:p>
    <w:p>
      <w:pPr>
        <w:pStyle w:val="ListParagraph"/>
        <w:numPr>
          <w:ilvl w:val="0"/>
          <w:numId w:val="2"/>
        </w:numPr>
      </w:pPr>
      <w:r>
        <w:t xml:space="preserve">Clone / check out the release tag of the repository and confirm package.json reports version 1.0.0.</w:t>
      </w:r>
    </w:p>
    <w:p>
      <w:pPr>
        <w:pStyle w:val="ListParagraph"/>
        <w:numPr>
          <w:ilvl w:val="0"/>
          <w:numId w:val="2"/>
        </w:numPr>
      </w:pPr>
      <w:r>
        <w:t xml:space="preserve">Log in and target the correct org and space: cf login → select the target org and space.</w:t>
      </w:r>
    </w:p>
    <w:p>
      <w:pPr>
        <w:shd w:fill="F2F2F2" w:val="clear"/>
        <w:spacing w:after="20" w:before="20"/>
      </w:pPr>
      <w:r>
        <w:rPr>
          <w:rFonts w:ascii="Consolas" w:cs="Consolas" w:eastAsia="Consolas" w:hAnsi="Consolas"/>
          <w:sz w:val="20"/>
          <w:szCs w:val="20"/>
        </w:rPr>
        <w:t xml:space="preserve">cf login -a &lt;CF_API_ENDPOINT&gt;</w:t>
      </w:r>
    </w:p>
    <w:p>
      <w:pPr>
        <w:shd w:fill="F2F2F2" w:val="clear"/>
        <w:spacing w:after="20" w:before="20"/>
      </w:pPr>
      <w:r>
        <w:rPr>
          <w:rFonts w:ascii="Consolas" w:cs="Consolas" w:eastAsia="Consolas" w:hAnsi="Consolas"/>
          <w:sz w:val="20"/>
          <w:szCs w:val="20"/>
        </w:rPr>
        <w:t xml:space="preserve">cf target -o &lt;ORG&gt; -s &lt;SPACE&gt;</w:t>
      </w:r>
    </w:p>
    <w:p>
      <w:pPr>
        <w:pStyle w:val="ListParagraph"/>
        <w:numPr>
          <w:ilvl w:val="0"/>
          <w:numId w:val="2"/>
        </w:numPr>
      </w:pPr>
      <w:r>
        <w:t xml:space="preserve">Build the MTA archive. This runs npm install + npm run build for the UI module and assembles the approuter and service definitions.</w:t>
      </w:r>
    </w:p>
    <w:p>
      <w:pPr>
        <w:shd w:fill="F2F2F2" w:val="clear"/>
        <w:spacing w:after="20" w:before="20"/>
      </w:pPr>
      <w:r>
        <w:rPr>
          <w:rFonts w:ascii="Consolas" w:cs="Consolas" w:eastAsia="Consolas" w:hAnsi="Consolas"/>
          <w:sz w:val="20"/>
          <w:szCs w:val="20"/>
        </w:rPr>
        <w:t xml:space="preserve">mbt build</w:t>
      </w:r>
    </w:p>
    <w:p>
      <w:pPr>
        <w:pStyle w:val="ListParagraph"/>
        <w:numPr>
          <w:ilvl w:val="0"/>
          <w:numId w:val="2"/>
        </w:numPr>
      </w:pPr>
      <w:r>
        <w:t xml:space="preserve">Verify the archive mta_archives/cfa-characteristics-report_1.0.0.mtar was produced.</w:t>
      </w:r>
    </w:p>
    <w:p>
      <w:pPr>
        <w:pStyle w:val="ListParagraph"/>
        <w:numPr>
          <w:ilvl w:val="0"/>
          <w:numId w:val="2"/>
        </w:numPr>
      </w:pPr>
      <w:r>
        <w:t xml:space="preserve">Deploy the archive. This creates/updates the xsuaa and destination service instances and stages the approuter.</w:t>
      </w:r>
    </w:p>
    <w:p>
      <w:pPr>
        <w:shd w:fill="F2F2F2" w:val="clear"/>
        <w:spacing w:after="20" w:before="20"/>
      </w:pPr>
      <w:r>
        <w:rPr>
          <w:rFonts w:ascii="Consolas" w:cs="Consolas" w:eastAsia="Consolas" w:hAnsi="Consolas"/>
          <w:sz w:val="20"/>
          <w:szCs w:val="20"/>
        </w:rPr>
        <w:t xml:space="preserve">cf deploy mta_archives/cfa-characteristics-report_1.0.0.mtar</w:t>
      </w:r>
    </w:p>
    <w:p>
      <w:pPr>
        <w:pStyle w:val="ListParagraph"/>
        <w:numPr>
          <w:ilvl w:val="0"/>
          <w:numId w:val="2"/>
        </w:numPr>
      </w:pPr>
      <w:r>
        <w:t xml:space="preserve">After deployment completes, retrieve the application route.</w:t>
      </w:r>
    </w:p>
    <w:p>
      <w:pPr>
        <w:shd w:fill="F2F2F2" w:val="clear"/>
        <w:spacing w:after="20" w:before="20"/>
      </w:pPr>
      <w:r>
        <w:rPr>
          <w:rFonts w:ascii="Consolas" w:cs="Consolas" w:eastAsia="Consolas" w:hAnsi="Consolas"/>
          <w:sz w:val="20"/>
          <w:szCs w:val="20"/>
        </w:rPr>
        <w:t xml:space="preserve">cf apps   # note the route for cfa-charlist-approuter</w:t>
      </w:r>
    </w:p>
    <w:p>
      <w:pPr>
        <w:pStyle w:val="ListParagraph"/>
        <w:numPr>
          <w:ilvl w:val="0"/>
          <w:numId w:val="2"/>
        </w:numPr>
      </w:pPr>
      <w:r>
        <w:t xml:space="preserve">Open the cfa-charlist-approuter route in a browser, authenticate via xsuaa, and perform the smoke tests in section 5.</w:t>
      </w:r>
    </w:p>
    <w:p>
      <w:pPr>
        <w:pStyle w:val="ListParagraph"/>
        <w:numPr>
          <w:ilvl w:val="0"/>
          <w:numId w:val="2"/>
        </w:numPr>
      </w:pPr>
      <w:r>
        <w:t xml:space="preserve">Record the deployed route, MTA version, and timestamp in the change ticket.</w:t>
      </w:r>
    </w:p>
    <w:p>
      <w:pPr>
        <w:pStyle w:val="Heading2"/>
      </w:pPr>
      <w:r>
        <w:t xml:space="preserve">2.4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Role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Release engineer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Builds and deploys the MTA; runs smoke tests; executes backout if required.</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BTP administrator</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Provides entitlements, the S4HC_Connection destination, and the Communication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S/4HANA functional / Basis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Confirms communication arrangements and characteristic/classification data.</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Business owner (CFA)</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Performs UAT sign-off against the test plan in section 5.</w:t>
            </w:r>
          </w:p>
        </w:tc>
      </w:tr>
    </w:tbl>
    <w:p>
      <w:r>
        <w:br w:type="page"/>
      </w:r>
    </w:p>
    <w:p>
      <w:pPr>
        <w:pStyle w:val="Heading1"/>
      </w:pPr>
      <w:r>
        <w:t xml:space="preserve">3. Risk and Impact Analysis</w:t>
      </w:r>
    </w:p>
    <w:p>
      <w:r>
        <w:t xml:space="preserve">The change introduces a new, read-only, self-contained application. It does not modify the S/4HANA backend, create or change business data, or alter any existing application. Overall change risk is assessed as Low, with the residual risks below.</w:t>
      </w:r>
    </w:p>
    <w:p>
      <w:pPr>
        <w:pStyle w:val="Heading2"/>
      </w:pPr>
      <w:r>
        <w:t xml:space="preserve">3.1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Area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Business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None. The app is strictly read-only; it issues only OData GET requests.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Existing applications</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None. New routes and new service instances; no shared artifacts modified.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S/4HANA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Read load only. Value reads are capped ($top) and projections are deliberately narrow to stay within CDS view volume limits.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Users</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New capability. Until the route is published, there is no user-facing 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Minimal. Approuter sized at 256M memory / 512M disk; xsuaa (application) and destination (lite) managed plans.</w:t>
            </w:r>
          </w:p>
        </w:tc>
      </w:tr>
    </w:tbl>
    <w:p>
      <w:pPr>
        <w:pStyle w:val="Heading2"/>
      </w:pPr>
      <w:r>
        <w:t xml:space="preserve">3.2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Risk</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Likelihood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Impact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Destination S4HC_Connection missing or misconfigured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Verify destination and a test OData call before deploy; app surfaces backend errors via a MessageStrip; covered by smoke test 5.2.</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Communication User lacks scope for one of the four APIs</w:t>
            </w:r>
          </w:p>
        </w:tc>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Medium</w:t>
            </w:r>
          </w:p>
        </w:tc>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High</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Confirm all three communication arrangements active in 2.1; validate each API in smoke tests.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xsuaa session/login redirect failure (wrong redirect-uris)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Align redirect-uris in xs-security.json to the landscape domain before build.</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Wide query triggers CDS volume dump (DBSQL_SQL_INTERNAL_DB_ERROR)</w:t>
            </w:r>
          </w:p>
        </w:tc>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Low</w:t>
            </w:r>
          </w:p>
        </w:tc>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Medium</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Narrow $select and row caps already enforced in the controller; export batched at 100 objects.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Service entitlement quota exhausted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Confirm xsuaa and destination entitlements before deploy; deploy is reversible (section 4).</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UI5 CDN (1.120) unavailable at runtime</w:t>
            </w:r>
          </w:p>
        </w:tc>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Low</w:t>
            </w:r>
          </w:p>
        </w:tc>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Medium</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UI5 is loaded from the SAP CDN; monitor SAP CDN status; pin remains at a supported maintenance version.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Deployment fails mid-way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MTA deploy is transactional per the multiapps plugin; re-run or roll back per section 4.</w:t>
            </w:r>
          </w:p>
        </w:tc>
      </w:tr>
    </w:tbl>
    <w:p>
      <w:r>
        <w:br w:type="page"/>
      </w:r>
    </w:p>
    <w:p>
      <w:pPr>
        <w:pStyle w:val="Heading1"/>
      </w:pPr>
      <w:r>
        <w:t xml:space="preserve">4. Backout Plan</w:t>
      </w:r>
    </w:p>
    <w:p>
      <w:r>
        <w:t xml:space="preserve">Because the application is a self-contained MTA with no database footprint and no changes to existing artifacts, backout is clean and low-risk. The trigger for backout is any failed smoke test (section 5) that cannot be resolved within the deployment window, or a defect of severity High raised during validation.</w:t>
      </w:r>
    </w:p>
    <w:p>
      <w:pPr>
        <w:pStyle w:val="Heading2"/>
      </w:pPr>
      <w:r>
        <w:t xml:space="preserve">4.1 Backout decision criteria</w:t>
      </w:r>
    </w:p>
    <w:p>
      <w:pPr>
        <w:pStyle w:val="ListParagraph"/>
        <w:numPr>
          <w:ilvl w:val="0"/>
          <w:numId w:val="3"/>
        </w:numPr>
      </w:pPr>
      <w:r>
        <w:t xml:space="preserve">A blocking smoke test fails and the root cause is not a backend/destination issue resolvable in-window.</w:t>
      </w:r>
    </w:p>
    <w:p>
      <w:pPr>
        <w:pStyle w:val="ListParagraph"/>
        <w:numPr>
          <w:ilvl w:val="0"/>
          <w:numId w:val="3"/>
        </w:numPr>
      </w:pPr>
      <w:r>
        <w:t xml:space="preserve">The approuter fails to stage or start after deploy.</w:t>
      </w:r>
    </w:p>
    <w:p>
      <w:pPr>
        <w:pStyle w:val="ListParagraph"/>
        <w:numPr>
          <w:ilvl w:val="0"/>
          <w:numId w:val="3"/>
        </w:numPr>
      </w:pPr>
      <w:r>
        <w:t xml:space="preserve">Authentication (xsuaa) cannot be completed by test users.</w:t>
      </w:r>
    </w:p>
    <w:p>
      <w:pPr>
        <w:pStyle w:val="ListParagraph"/>
        <w:numPr>
          <w:ilvl w:val="0"/>
          <w:numId w:val="3"/>
        </w:numPr>
      </w:pPr>
      <w:r>
        <w:t xml:space="preserve">Business owner withholds UAT sign-off for a release-blocking reason.</w:t>
      </w:r>
    </w:p>
    <w:p>
      <w:pPr>
        <w:pStyle w:val="Heading2"/>
      </w:pPr>
      <w:r>
        <w:t xml:space="preserve">4.2 Backout procedure (new deployment)</w:t>
      </w:r>
    </w:p>
    <w:p>
      <w:r>
        <w:t xml:space="preserve">If this is the first deployment, remove the MTA in full. This deletes the approuter application, its route, and the managed xsuaa and destination service instances created by the deploy.</w:t>
      </w:r>
    </w:p>
    <w:p>
      <w:pPr>
        <w:shd w:fill="F2F2F2" w:val="clear"/>
        <w:spacing w:after="20" w:before="20"/>
      </w:pPr>
      <w:r>
        <w:rPr>
          <w:rFonts w:ascii="Consolas" w:cs="Consolas" w:eastAsia="Consolas" w:hAnsi="Consolas"/>
          <w:sz w:val="20"/>
          <w:szCs w:val="20"/>
        </w:rPr>
        <w:t xml:space="preserve">cf undeploy cfa-characteristics-report --delete-services --delete-service-keys</w:t>
      </w:r>
    </w:p>
    <w:p>
      <w:r>
        <w:t xml:space="preserve">Confirm removal:</w:t>
      </w:r>
    </w:p>
    <w:p>
      <w:pPr>
        <w:shd w:fill="F2F2F2" w:val="clear"/>
        <w:spacing w:after="20" w:before="20"/>
      </w:pPr>
      <w:r>
        <w:rPr>
          <w:rFonts w:ascii="Consolas" w:cs="Consolas" w:eastAsia="Consolas" w:hAnsi="Consolas"/>
          <w:sz w:val="20"/>
          <w:szCs w:val="20"/>
        </w:rPr>
        <w:t xml:space="preserve">cf apps      # cfa-charlist-approuter should be gone</w:t>
      </w:r>
    </w:p>
    <w:p>
      <w:pPr>
        <w:shd w:fill="F2F2F2" w:val="clear"/>
        <w:spacing w:after="20" w:before="20"/>
      </w:pPr>
      <w:r>
        <w:rPr>
          <w:rFonts w:ascii="Consolas" w:cs="Consolas" w:eastAsia="Consolas" w:hAnsi="Consolas"/>
          <w:sz w:val="20"/>
          <w:szCs w:val="20"/>
        </w:rPr>
        <w:t xml:space="preserve">cf services  # cfa-charlist-uaa and cfa-charlist-dest should be gone</w:t>
      </w:r>
    </w:p>
    <w:p>
      <w:pPr>
        <w:pStyle w:val="Heading2"/>
      </w:pPr>
      <w:r>
        <w:t xml:space="preserve">4.3 Backout procedure (redeploy over an existing version)</w:t>
      </w:r>
    </w:p>
    <w:p>
      <w:r>
        <w:t xml:space="preserve">If a previous working version exists, roll forward/back by redeploying the last-known-good MTA archive. The multiapps plugin performs an in-place, transactional update; service instances are retained.</w:t>
      </w:r>
    </w:p>
    <w:p>
      <w:pPr>
        <w:shd w:fill="F2F2F2" w:val="clear"/>
        <w:spacing w:after="20" w:before="20"/>
      </w:pPr>
      <w:r>
        <w:rPr>
          <w:rFonts w:ascii="Consolas" w:cs="Consolas" w:eastAsia="Consolas" w:hAnsi="Consolas"/>
          <w:sz w:val="20"/>
          <w:szCs w:val="20"/>
        </w:rPr>
        <w:t xml:space="preserve">cf deploy mta_archives/cfa-characteristics-report_&lt;last-good&gt;.mtar</w:t>
      </w:r>
    </w:p>
    <w:p>
      <w:pPr>
        <w:pStyle w:val="Heading2"/>
      </w:pPr>
      <w:r>
        <w:t xml:space="preserve">4.4 Post-backout verification</w:t>
      </w:r>
    </w:p>
    <w:p>
      <w:pPr>
        <w:pStyle w:val="ListParagraph"/>
        <w:numPr>
          <w:ilvl w:val="0"/>
          <w:numId w:val="3"/>
        </w:numPr>
      </w:pPr>
      <w:r>
        <w:t xml:space="preserve">Confirm the route is removed (new deployment) or serves the prior version (redeploy).</w:t>
      </w:r>
    </w:p>
    <w:p>
      <w:pPr>
        <w:pStyle w:val="ListParagraph"/>
        <w:numPr>
          <w:ilvl w:val="0"/>
          <w:numId w:val="3"/>
        </w:numPr>
      </w:pPr>
      <w:r>
        <w:t xml:space="preserve">Confirm no orphaned service instances remain via cf services.</w:t>
      </w:r>
    </w:p>
    <w:p>
      <w:pPr>
        <w:pStyle w:val="ListParagraph"/>
        <w:numPr>
          <w:ilvl w:val="0"/>
          <w:numId w:val="3"/>
        </w:numPr>
      </w:pPr>
      <w:r>
        <w:t xml:space="preserve">The S4HC_Connection destination is owned by the BTP administrator and is NOT deleted by backout — leave it untouched.</w:t>
      </w:r>
    </w:p>
    <w:p>
      <w:pPr>
        <w:pStyle w:val="ListParagraph"/>
        <w:numPr>
          <w:ilvl w:val="0"/>
          <w:numId w:val="3"/>
        </w:numPr>
      </w:pPr>
      <w:r>
        <w:t xml:space="preserve">Update the change ticket with the backout outcome and timestamp.</w:t>
      </w:r>
    </w:p>
    <w:p>
      <w:r>
        <w:br w:type="page"/>
      </w:r>
    </w:p>
    <w:p>
      <w:pPr>
        <w:pStyle w:val="Heading1"/>
      </w:pPr>
      <w:r>
        <w:t xml:space="preserve">5. Test Plan</w:t>
      </w:r>
    </w:p>
    <w:p>
      <w:r>
        <w:t xml:space="preserve">Testing is in two tiers: post-deployment smoke tests run by the release engineer immediately after deploy, and User Acceptance Testing (UAT) run by the business owner before the route is published. Every test must record an Actual result and Pass/Fail.</w:t>
      </w:r>
    </w:p>
    <w:p>
      <w:pPr>
        <w:pStyle w:val="Heading2"/>
      </w:pPr>
      <w:r>
        <w:t xml:space="preserve">5.1 Entry /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Criterion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MTA deployed successfully; approuter route reachable; test users have xsuaa access.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Exit (smoke)</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All smoke tests in 5.2 pass; no severity-High defects open.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Exit (UAT)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All UAT cases in 5.3 pass; business owner sign-off recorded.</w:t>
            </w:r>
          </w:p>
        </w:tc>
      </w:tr>
    </w:tbl>
    <w:p>
      <w:pPr>
        <w:pStyle w:val="Heading2"/>
      </w:pPr>
      <w:r>
        <w:t xml:space="preserve">5.2 Smoke tests (post-deployment)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c>
          <w:tcPr>
            <w:tcW w:type="dxa" w:w="4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Test</w:t>
            </w:r>
          </w:p>
        </w:tc>
        <w:tc>
          <w:tcPr>
            <w:tcW w:type="dxa" w:w="4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Expected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1</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Open the approuter route in a browser.</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xsuaa login presented; after auth, the app shell loads with the filter bar and empty state.</w:t>
            </w:r>
          </w:p>
        </w:tc>
      </w:tr>
      <w:t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2</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Class Type defaults to 002 (Equipment); open the Class dropdown.</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Class list loads from API_CLFN_CLASS_SRV (released classes only); no error strip.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3</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Select a Class and press Go.</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Cards render with one column per characteristic; Total count shown; values populated.</w:t>
            </w:r>
          </w:p>
        </w:tc>
      </w:tr>
      <w:t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4</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Use the Characteristic Value free-text filter (e.g. a date as DD/MM/YYYY or DD.MM.YYYY).</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Filter resolves and narrows results; no backend 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5</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Search a known object number via the object search.</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Object resolved to its class and displayed; multi-class prompt appears when applicable.</w:t>
            </w:r>
          </w:p>
        </w:tc>
      </w:tr>
      <w:t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6</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Press Export to Spreadsheet on a populated result.</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Batched progress dialog runs to 100%; CharacteristicsReport.xlsx downloads.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7</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Switch Class Type to 003 (Functional Location), select a class, press Go.</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FL objects render via API_FUNCTIONALLOCATION; FL-specific columns shown.</w:t>
            </w:r>
          </w:p>
        </w:tc>
      </w:tr>
      <w:t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8</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Leave the app idle until the xsuaa session expires, then act.</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Auth guard detects 401/403 and forces re-login rather than failing silently.</w:t>
            </w:r>
          </w:p>
        </w:tc>
      </w:tr>
    </w:tbl>
    <w:p>
      <w:pPr>
        <w:pStyle w:val="Heading2"/>
      </w:pPr>
      <w:r>
        <w:t xml:space="preserve">5.3 User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c>
          <w:tcPr>
            <w:tcW w:type="dxa" w:w="4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Scenario</w:t>
            </w:r>
          </w:p>
        </w:tc>
        <w:tc>
          <w:tcPr>
            <w:tcW w:type="dxa" w:w="4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U1</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Characteristic columns match the class definition in S/4HANA.</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Columns and order match CharcPositionNumber; multi-valued characteristics joined correctly.</w:t>
            </w:r>
          </w:p>
        </w:tc>
      </w:tr>
      <w:t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U2</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Values for a sample of objects match the backend.</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Spot-checked NUM / DATE / CURR values match S/4HANA exactly, including units/currency.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U3</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Filters (object number, characteristic, value, serial, superior, planner group, start-up date) behave as expected.</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Each filter narrows results correctly; clear empties every field.</w:t>
            </w:r>
          </w:p>
        </w:tc>
      </w:tr>
      <w:t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U4</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Exported spreadsheet matches the on-screen result.</w:t>
            </w:r>
          </w:p>
        </w:tc>
        <w:tc>
          <w:tcPr>
            <w:tcW w:type="dxa" w:w="43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Row count and values in the .xlsx reconcile with the grid.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U5</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Performance is acceptable for the largest in-scope class.</w:t>
            </w:r>
          </w:p>
        </w:tc>
        <w:tc>
          <w:tcPr>
            <w:tcW w:type="dxa" w:w="43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Initial load and paging complete within agreed thresholds.</w:t>
            </w:r>
          </w:p>
        </w:tc>
      </w:tr>
    </w:tbl>
    <w:p>
      <w:pPr>
        <w:pStyle w:val="Heading2"/>
      </w:pPr>
      <w:r>
        <w:t xml:space="preserve">5.4 Defect handling</w:t>
      </w:r>
    </w:p>
    <w:p>
      <w:pPr>
        <w:pStyle w:val="ListParagraph"/>
        <w:numPr>
          <w:ilvl w:val="0"/>
          <w:numId w:val="3"/>
        </w:numPr>
      </w:pPr>
      <w:r>
        <w:t xml:space="preserve">Severity High (blocking): stop and invoke the backout decision (section 4.1).</w:t>
      </w:r>
    </w:p>
    <w:p>
      <w:pPr>
        <w:pStyle w:val="ListParagraph"/>
        <w:numPr>
          <w:ilvl w:val="0"/>
          <w:numId w:val="3"/>
        </w:numPr>
      </w:pPr>
      <w:r>
        <w:t xml:space="preserve">Severity Medium/Low: log, triage, and schedule a fix-forward in a subsequent release.</w:t>
      </w:r>
    </w:p>
    <w:p>
      <w:r>
        <w:br w:type="page"/>
      </w:r>
    </w:p>
    <w:p>
      <w:pPr>
        <w:pStyle w:val="Heading1"/>
      </w:pPr>
      <w:r>
        <w:t xml:space="preserve">6. Deployment Schedule</w:t>
      </w:r>
    </w:p>
    <w:p>
      <w:r>
        <w:t xml:space="preserve">The deployment is low-risk and read-only, so no S/4HANA downtime is required. The window below is indicative; confirm exact dates and the named individuals with the change advisory board before execution.</w:t>
      </w:r>
    </w:p>
    <w:p>
      <w:pPr>
        <w:pStyle w:val="Heading2"/>
      </w:pPr>
      <w:r>
        <w:t xml:space="preserve">6.1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30"/>
        <w:gridCol w:w="253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Activity</w:t>
            </w:r>
          </w:p>
        </w:tc>
        <w:tc>
          <w:tcPr>
            <w:tcW w:type="dxa" w:w="25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Owner</w:t>
            </w:r>
          </w:p>
        </w:tc>
        <w:tc>
          <w:tcPr>
            <w:tcW w:type="dxa" w:w="25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Window</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T-3 days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Confirm prerequisites: destination, communication arrangements, entitlements (section 2.1).</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BTP admin / Basis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Business hours</w:t>
            </w:r>
          </w:p>
        </w:tc>
      </w:tr>
      <w:tr>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T-1 day</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Build MTA in a staging space; run smoke tests against staging.</w:t>
            </w:r>
          </w:p>
        </w:tc>
        <w:tc>
          <w:tcPr>
            <w:tcW w:type="dxa" w:w="25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Release engineer</w:t>
            </w:r>
          </w:p>
        </w:tc>
        <w:tc>
          <w:tcPr>
            <w:tcW w:type="dxa" w:w="25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Business hours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T-0 (window 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Deploy MTA to production space (section 2.3).</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Release engineer</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~30 min</w:t>
            </w:r>
          </w:p>
        </w:tc>
      </w:tr>
      <w:tr>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T-0 +30 min</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Run post-deployment smoke tests (section 5.2).</w:t>
            </w:r>
          </w:p>
        </w:tc>
        <w:tc>
          <w:tcPr>
            <w:tcW w:type="dxa" w:w="25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Release engineer</w:t>
            </w:r>
          </w:p>
        </w:tc>
        <w:tc>
          <w:tcPr>
            <w:tcW w:type="dxa" w:w="25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~30 min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T-0 +1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Business UAT (section 5.3).</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Business owner</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1–2 hrs</w:t>
            </w:r>
          </w:p>
        </w:tc>
      </w:tr>
      <w:tr>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T-0 +1 day</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Publish route to end users; close change ticket.</w:t>
            </w:r>
          </w:p>
        </w:tc>
        <w:tc>
          <w:tcPr>
            <w:tcW w:type="dxa" w:w="25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Release engineer</w:t>
            </w:r>
          </w:p>
        </w:tc>
        <w:tc>
          <w:tcPr>
            <w:tcW w:type="dxa" w:w="253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Business hours</w:t>
            </w:r>
          </w:p>
        </w:tc>
      </w:tr>
    </w:tbl>
    <w:p>
      <w:pPr>
        <w:pStyle w:val="Heading2"/>
      </w:pPr>
      <w:r>
        <w:t xml:space="preserve">6.2 Window, freeze and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Preferred window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Standard business-hours change window (no after-hours required — read-only, no downtime).</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Estimated duration</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Deploy ~30 minutes; full validation within the same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Downtime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None to S/4HANA or to existing applications.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Change freeze</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Observe any active BTP/S4HC freeze periods; defer if a freeze applies.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Go / No-go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Go decision by the business owner and release engineer after smoke tests pass.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Communication</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Notify stakeholders at window start, on smoke-test pass, and at route publication / closure.</w:t>
            </w:r>
          </w:p>
        </w:tc>
      </w:tr>
    </w:tbl>
    <w:p>
      <w:pPr>
        <w:pStyle w:val="Heading2"/>
      </w:pPr>
      <w:r>
        <w:t xml:space="preserve">6.3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Name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Date / Signature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Release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BTP administrator</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Business owner (CFA)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Change manager</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top"/>
          </w:tcPr>
          <w:p>
            <w: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808080"/>
        <w:sz w:val="16"/>
        <w:szCs w:val="16"/>
      </w:rPr>
      <w:t xml:space="preserve">SAP BTP · Cloud Foundry · v1.0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08080"/>
        <w:sz w:val="16"/>
        <w:szCs w:val="16"/>
      </w:rPr>
      <w:t xml:space="preserve">CFA Characteristics Report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CFA Technical Object Characteristics Report – Deployment Guide</dc:title>
  <dc:creator>shaun.bradridge@betadigital.com.au</dc:creator>
  <dc:description>SAP BTP deployment guide</dc:description>
  <cp:lastModifiedBy>Un-named</cp:lastModifiedBy>
  <cp:revision>1</cp:revision>
  <dcterms:created xsi:type="dcterms:W3CDTF">2026-06-15T04:33:11.063Z</dcterms:created>
  <dcterms:modified xsi:type="dcterms:W3CDTF">2026-06-15T04:33:11.064Z</dcterms:modified>
</cp:coreProperties>
</file>

<file path=docProps/custom.xml><?xml version="1.0" encoding="utf-8"?>
<Properties xmlns="http://schemas.openxmlformats.org/officeDocument/2006/custom-properties" xmlns:vt="http://schemas.openxmlformats.org/officeDocument/2006/docPropsVTypes"/>
</file>