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sz w:val="28"/>
          <w:szCs w:val="28"/>
        </w:rPr>
        <w:t xml:space="preserve"/>
      </w:r>
    </w:p>
    <w:p>
      <w:pPr>
        <w:spacing w:after="0" w:before="0"/>
        <w:jc w:val="center"/>
      </w:pPr>
      <w:r>
        <w:rPr>
          <w:rFonts w:ascii="Calibri" w:cs="Calibri" w:eastAsia="Calibri" w:hAnsi="Calibri"/>
          <w:b/>
          <w:bCs/>
          <w:color w:val="6B21A8"/>
          <w:sz w:val="64"/>
          <w:szCs w:val="64"/>
        </w:rPr>
        <w:t xml:space="preserve">VENDOR PERFORMANCE</w:t>
      </w:r>
    </w:p>
    <w:p>
      <w:pPr>
        <w:spacing w:after="400" w:before="0"/>
        <w:jc w:val="center"/>
      </w:pPr>
      <w:r>
        <w:rPr>
          <w:rFonts w:ascii="Calibri" w:cs="Calibri" w:eastAsia="Calibri" w:hAnsi="Calibri"/>
          <w:b/>
          <w:bCs/>
          <w:color w:val="1E1B4B"/>
          <w:sz w:val="64"/>
          <w:szCs w:val="64"/>
        </w:rPr>
        <w:t xml:space="preserve">ANALYSIS REPORT</w:t>
      </w:r>
    </w:p>
    <w:p>
      <w:pPr>
        <w:spacing w:after="400" w:before="0"/>
        <w:jc w:val="center"/>
      </w:pPr>
      <w:r>
        <w:rPr>
          <w:rFonts w:ascii="Calibri" w:cs="Calibri" w:eastAsia="Calibri" w:hAnsi="Calibri"/>
          <w:color w:val="6B21A8"/>
          <w:sz w:val="24"/>
          <w:szCs w:val="24"/>
        </w:rPr>
        <w:t xml:space="preserve">━━━━━━━━━━━━━━━━━━━━━━━━━━━━━━━━━━━━━━━━</w:t>
      </w:r>
    </w:p>
    <w:p>
      <w:pPr>
        <w:spacing w:after="800" w:before="0"/>
        <w:jc w:val="center"/>
      </w:pPr>
      <w:r>
        <w:rPr>
          <w:rFonts w:ascii="Calibri" w:cs="Calibri" w:eastAsia="Calibri" w:hAnsi="Calibri"/>
          <w:i/>
          <w:iCs/>
          <w:color w:val="6B7280"/>
          <w:sz w:val="28"/>
          <w:szCs w:val="28"/>
        </w:rPr>
        <w:t xml:space="preserve">Retail &amp; Wholesale Inventory and Sales Analytics</w:t>
      </w:r>
    </w:p>
    <w:p>
      <w:pPr>
        <w:spacing w:after="80" w:before="0"/>
        <w:jc w:val="center"/>
      </w:pPr>
      <w:r>
        <w:rPr>
          <w:rFonts w:ascii="Calibri" w:cs="Calibri" w:eastAsia="Calibri" w:hAnsi="Calibri"/>
          <w:color w:val="9CA3AF"/>
          <w:sz w:val="22"/>
          <w:szCs w:val="22"/>
        </w:rPr>
        <w:t xml:space="preserve">Prepared by:</w:t>
      </w:r>
    </w:p>
    <w:p>
      <w:pPr>
        <w:spacing w:after="80" w:before="0"/>
        <w:jc w:val="center"/>
      </w:pPr>
      <w:r>
        <w:rPr>
          <w:rFonts w:ascii="Calibri" w:cs="Calibri" w:eastAsia="Calibri" w:hAnsi="Calibri"/>
          <w:b/>
          <w:bCs/>
          <w:color w:val="6B21A8"/>
          <w:sz w:val="40"/>
          <w:szCs w:val="40"/>
        </w:rPr>
        <w:t xml:space="preserve">Abhijeet Kishan</w:t>
      </w:r>
    </w:p>
    <w:p>
      <w:pPr>
        <w:spacing w:after="600" w:before="0"/>
        <w:jc w:val="center"/>
      </w:pPr>
      <w:r>
        <w:rPr>
          <w:rFonts w:ascii="Calibri" w:cs="Calibri" w:eastAsia="Calibri" w:hAnsi="Calibri"/>
          <w:color w:val="9CA3AF"/>
          <w:sz w:val="20"/>
          <w:szCs w:val="20"/>
        </w:rPr>
        <w:t xml:space="preserve">Business Analytics | BBA Logistics | BBD University Lucknow</w:t>
      </w:r>
    </w:p>
    <w:p>
      <w:pPr>
        <w:spacing w:after="80" w:before="0"/>
        <w:jc w:val="center"/>
      </w:pPr>
      <w:r>
        <w:rPr>
          <w:rFonts w:ascii="Calibri" w:cs="Calibri" w:eastAsia="Calibri" w:hAnsi="Calibri"/>
          <w:color w:val="1E1B4B"/>
          <w:sz w:val="22"/>
          <w:szCs w:val="22"/>
        </w:rPr>
        <w:t xml:space="preserve">Analysis Period: January 2026 – December 2026</w:t>
      </w:r>
    </w:p>
    <w:p>
      <w:pPr>
        <w:spacing w:after="80" w:before="0"/>
        <w:jc w:val="center"/>
      </w:pPr>
      <w:r>
        <w:rPr>
          <w:rFonts w:ascii="Calibri" w:cs="Calibri" w:eastAsia="Calibri" w:hAnsi="Calibri"/>
          <w:color w:val="1E1B4B"/>
          <w:sz w:val="22"/>
          <w:szCs w:val="22"/>
        </w:rPr>
        <w:t xml:space="preserve">Tools Used: MySQL · Power BI · SQL Analytics</w:t>
      </w:r>
    </w:p>
    <w:p>
      <w:pPr>
        <w:spacing w:after="0" w:before="0"/>
        <w:jc w:val="center"/>
      </w:pPr>
      <w:r>
        <w:rPr>
          <w:rFonts w:ascii="Calibri" w:cs="Calibri" w:eastAsia="Calibri" w:hAnsi="Calibri"/>
          <w:color w:val="1E1B4B"/>
          <w:sz w:val="22"/>
          <w:szCs w:val="22"/>
        </w:rPr>
        <w:t xml:space="preserve">Dataset: 12.8M transactions → 11,450 vendor-brand combinations</w:t>
      </w:r>
    </w:p>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1. EXECUTIVE SUMMARY</w:t>
      </w:r>
    </w:p>
    <w:p>
      <w:pPr>
        <w:spacing w:after="0" w:before="0"/>
      </w:pPr>
      <w:r>
        <w:t xml:space="preserve"/>
      </w:r>
    </w:p>
    <w:p>
      <w:pPr>
        <w:spacing w:after="80" w:before="80"/>
        <w:jc w:val="both"/>
      </w:pPr>
      <w:r>
        <w:rPr>
          <w:rFonts w:ascii="Calibri" w:cs="Calibri" w:eastAsia="Calibri" w:hAnsi="Calibri"/>
          <w:color w:val="374151"/>
          <w:sz w:val="22"/>
          <w:szCs w:val="22"/>
        </w:rPr>
        <w:t xml:space="preserve">This report presents a comprehensive vendor performance analysis conducted on retail and wholesale inventory and sales data spanning the full calendar year 2026. The analysis was performed using MySQL for data extraction and aggregation, and Power BI for visualization and reporting.</w:t>
      </w:r>
    </w:p>
    <w:p>
      <w:pPr>
        <w:spacing w:after="0" w:before="0"/>
      </w:pPr>
      <w:r>
        <w:t xml:space="preserve"/>
      </w:r>
    </w:p>
    <w:p>
      <w:pPr>
        <w:spacing w:after="80" w:before="80"/>
        <w:jc w:val="both"/>
      </w:pPr>
      <w:r>
        <w:rPr>
          <w:rFonts w:ascii="Calibri" w:cs="Calibri" w:eastAsia="Calibri" w:hAnsi="Calibri"/>
          <w:color w:val="374151"/>
          <w:sz w:val="22"/>
          <w:szCs w:val="22"/>
        </w:rPr>
        <w:t xml:space="preserve">Raw transactional data comprising 12.8 million individual sales records across 6 database tables was aggregated into 11,450 unique vendor-brand combinations, enabling structured performance comparison at both vendor and brand level.</w:t>
      </w:r>
    </w:p>
    <w:p>
      <w:pPr>
        <w:spacing w:after="0" w:before="0"/>
      </w:pPr>
      <w:r>
        <w:t xml:space="preserve"/>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Key Performance Indicators</w:t>
      </w:r>
    </w:p>
    <w:p>
      <w:pPr>
        <w:spacing w:after="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500"/>
        <w:gridCol w:w="2500"/>
        <w:gridCol w:w="2500"/>
        <w:gridCol w:w="2500"/>
      </w:tblGrid>
      <w:tr>
        <w:tc>
          <w:tcPr>
            <w:tcW w:type="dxa" w:w="2500"/>
            <w:tcBorders>
              <w:top w:val="single" w:color="6B21A8" w:sz="12"/>
              <w:left w:val="none"/>
              <w:bottom w:val="none"/>
              <w:right w:val="none"/>
            </w:tcBorders>
            <w:shd w:fill="F3F4F6" w:color="F3F4F6" w:val="clear"/>
            <w:tcMar>
              <w:top w:type="dxa" w:w="100"/>
              <w:left w:type="dxa" w:w="150"/>
              <w:bottom w:type="dxa" w:w="100"/>
              <w:right w:type="dxa" w:w="150"/>
            </w:tcMar>
          </w:tcPr>
          <w:p>
            <w:pPr>
              <w:spacing w:after="40" w:before="100"/>
              <w:jc w:val="center"/>
            </w:pPr>
            <w:r>
              <w:rPr>
                <w:rFonts w:ascii="Calibri" w:cs="Calibri" w:eastAsia="Calibri" w:hAnsi="Calibri"/>
                <w:b/>
                <w:bCs/>
                <w:color w:val="6B21A8"/>
                <w:sz w:val="36"/>
                <w:szCs w:val="36"/>
              </w:rPr>
              <w:t xml:space="preserve">$452.06M</w:t>
            </w:r>
          </w:p>
          <w:p>
            <w:pPr>
              <w:spacing w:after="100" w:before="0"/>
              <w:jc w:val="center"/>
            </w:pPr>
            <w:r>
              <w:rPr>
                <w:rFonts w:ascii="Calibri" w:cs="Calibri" w:eastAsia="Calibri" w:hAnsi="Calibri"/>
                <w:color w:val="6B7280"/>
                <w:sz w:val="18"/>
                <w:szCs w:val="18"/>
              </w:rPr>
              <w:t xml:space="preserve">Total Sales Revenue</w:t>
            </w:r>
          </w:p>
        </w:tc>
        <w:tc>
          <w:tcPr>
            <w:tcW w:type="dxa" w:w="2500"/>
            <w:tcBorders>
              <w:top w:val="single" w:color="6B21A8" w:sz="12"/>
              <w:left w:val="none"/>
              <w:bottom w:val="none"/>
              <w:right w:val="none"/>
            </w:tcBorders>
            <w:shd w:fill="F3F4F6" w:color="F3F4F6" w:val="clear"/>
            <w:tcMar>
              <w:top w:type="dxa" w:w="100"/>
              <w:left w:type="dxa" w:w="150"/>
              <w:bottom w:type="dxa" w:w="100"/>
              <w:right w:type="dxa" w:w="150"/>
            </w:tcMar>
          </w:tcPr>
          <w:p>
            <w:pPr>
              <w:spacing w:after="40" w:before="100"/>
              <w:jc w:val="center"/>
            </w:pPr>
            <w:r>
              <w:rPr>
                <w:rFonts w:ascii="Calibri" w:cs="Calibri" w:eastAsia="Calibri" w:hAnsi="Calibri"/>
                <w:b/>
                <w:bCs/>
                <w:color w:val="6B21A8"/>
                <w:sz w:val="36"/>
                <w:szCs w:val="36"/>
              </w:rPr>
              <w:t xml:space="preserve">$321.90M</w:t>
            </w:r>
          </w:p>
          <w:p>
            <w:pPr>
              <w:spacing w:after="100" w:before="0"/>
              <w:jc w:val="center"/>
            </w:pPr>
            <w:r>
              <w:rPr>
                <w:rFonts w:ascii="Calibri" w:cs="Calibri" w:eastAsia="Calibri" w:hAnsi="Calibri"/>
                <w:color w:val="6B7280"/>
                <w:sz w:val="18"/>
                <w:szCs w:val="18"/>
              </w:rPr>
              <w:t xml:space="preserve">Total Purchase Cost</w:t>
            </w:r>
          </w:p>
        </w:tc>
        <w:tc>
          <w:tcPr>
            <w:tcW w:type="dxa" w:w="2500"/>
            <w:tcBorders>
              <w:top w:val="single" w:color="6B21A8" w:sz="12"/>
              <w:left w:val="none"/>
              <w:bottom w:val="none"/>
              <w:right w:val="none"/>
            </w:tcBorders>
            <w:shd w:fill="F3F4F6" w:color="F3F4F6" w:val="clear"/>
            <w:tcMar>
              <w:top w:type="dxa" w:w="100"/>
              <w:left w:type="dxa" w:w="150"/>
              <w:bottom w:type="dxa" w:w="100"/>
              <w:right w:type="dxa" w:w="150"/>
            </w:tcMar>
          </w:tcPr>
          <w:p>
            <w:pPr>
              <w:spacing w:after="40" w:before="100"/>
              <w:jc w:val="center"/>
            </w:pPr>
            <w:r>
              <w:rPr>
                <w:rFonts w:ascii="Calibri" w:cs="Calibri" w:eastAsia="Calibri" w:hAnsi="Calibri"/>
                <w:b/>
                <w:bCs/>
                <w:color w:val="6B21A8"/>
                <w:sz w:val="36"/>
                <w:szCs w:val="36"/>
              </w:rPr>
              <w:t xml:space="preserve">$130.16M</w:t>
            </w:r>
          </w:p>
          <w:p>
            <w:pPr>
              <w:spacing w:after="100" w:before="0"/>
              <w:jc w:val="center"/>
            </w:pPr>
            <w:r>
              <w:rPr>
                <w:rFonts w:ascii="Calibri" w:cs="Calibri" w:eastAsia="Calibri" w:hAnsi="Calibri"/>
                <w:color w:val="6B7280"/>
                <w:sz w:val="18"/>
                <w:szCs w:val="18"/>
              </w:rPr>
              <w:t xml:space="preserve">Gross Profit</w:t>
            </w:r>
          </w:p>
        </w:tc>
        <w:tc>
          <w:tcPr>
            <w:tcW w:type="dxa" w:w="2500"/>
            <w:tcBorders>
              <w:top w:val="single" w:color="6B21A8" w:sz="12"/>
              <w:left w:val="none"/>
              <w:bottom w:val="none"/>
              <w:right w:val="none"/>
            </w:tcBorders>
            <w:shd w:fill="F3F4F6" w:color="F3F4F6" w:val="clear"/>
            <w:tcMar>
              <w:top w:type="dxa" w:w="100"/>
              <w:left w:type="dxa" w:w="150"/>
              <w:bottom w:type="dxa" w:w="100"/>
              <w:right w:type="dxa" w:w="150"/>
            </w:tcMar>
          </w:tcPr>
          <w:p>
            <w:pPr>
              <w:spacing w:after="40" w:before="100"/>
              <w:jc w:val="center"/>
            </w:pPr>
            <w:r>
              <w:rPr>
                <w:rFonts w:ascii="Calibri" w:cs="Calibri" w:eastAsia="Calibri" w:hAnsi="Calibri"/>
                <w:b/>
                <w:bCs/>
                <w:color w:val="DC2626"/>
                <w:sz w:val="36"/>
                <w:szCs w:val="36"/>
              </w:rPr>
              <w:t xml:space="preserve">18.58%</w:t>
            </w:r>
          </w:p>
          <w:p>
            <w:pPr>
              <w:spacing w:after="100" w:before="0"/>
              <w:jc w:val="center"/>
            </w:pPr>
            <w:r>
              <w:rPr>
                <w:rFonts w:ascii="Calibri" w:cs="Calibri" w:eastAsia="Calibri" w:hAnsi="Calibri"/>
                <w:color w:val="6B7280"/>
                <w:sz w:val="18"/>
                <w:szCs w:val="18"/>
              </w:rPr>
              <w:t xml:space="preserve">Unprofitable Brands</w:t>
            </w:r>
          </w:p>
        </w:tc>
      </w:tr>
    </w:tbl>
    <w:p>
      <w:pPr>
        <w:spacing w:after="0" w:before="0"/>
      </w:pPr>
      <w:r>
        <w:t xml:space="preserve"/>
      </w:r>
    </w:p>
    <w:p>
      <w:pPr>
        <w:spacing w:after="0" w:before="0"/>
      </w:pPr>
      <w:r>
        <w:t xml:space="preserve"/>
      </w:r>
    </w:p>
    <w:p>
      <w:pPr>
        <w:spacing w:after="80" w:before="80"/>
        <w:jc w:val="both"/>
      </w:pPr>
      <w:r>
        <w:rPr>
          <w:rFonts w:ascii="Calibri" w:cs="Calibri" w:eastAsia="Calibri" w:hAnsi="Calibri"/>
          <w:color w:val="374151"/>
          <w:sz w:val="22"/>
          <w:szCs w:val="22"/>
        </w:rPr>
        <w:t xml:space="preserve">While the overall business demonstrates strong profitability with a gross margin of approximately 28.8%, a critical finding emerges: 18.58% of vendor-brand combinations (2,127 out of 11,450) are operating at a loss, representing $4.35M in recoverable value. This highlights a significant opportunity for targeted pricing adjustments and vendor relationship management.</w:t>
      </w:r>
    </w:p>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2. BUSINESS PROBLEM</w:t>
      </w:r>
    </w:p>
    <w:p>
      <w:pPr>
        <w:spacing w:after="0" w:before="0"/>
      </w:pPr>
      <w:r>
        <w:t xml:space="preserve"/>
      </w:r>
    </w:p>
    <w:p>
      <w:pPr>
        <w:spacing w:after="80" w:before="80"/>
        <w:jc w:val="both"/>
      </w:pPr>
      <w:r>
        <w:rPr>
          <w:rFonts w:ascii="Calibri" w:cs="Calibri" w:eastAsia="Calibri" w:hAnsi="Calibri"/>
          <w:color w:val="374151"/>
          <w:sz w:val="22"/>
          <w:szCs w:val="22"/>
        </w:rPr>
        <w:t xml:space="preserve">Effective inventory and sales management are critical for optimizing profitability in the retail and wholesale industry. Companies need to ensure they are not incurring losses due to inefficient pricing, poor inventory turnover, or vendor dependency.</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This analysis was designed to address five core objectives:</w:t>
      </w:r>
    </w:p>
    <w:p>
      <w:pPr>
        <w:spacing w:after="0" w:before="0"/>
      </w:pPr>
      <w:r>
        <w:t xml:space="preserve"/>
      </w:r>
    </w:p>
    <w:p>
      <w:pPr>
        <w:pStyle w:val="ListParagraph"/>
        <w:numPr>
          <w:ilvl w:val="0"/>
          <w:numId w:val="1"/>
        </w:numPr>
        <w:spacing w:after="60" w:before="60"/>
        <w:ind w:left="400"/>
      </w:pPr>
      <w:r>
        <w:rPr>
          <w:rFonts w:ascii="Calibri" w:cs="Calibri" w:eastAsia="Calibri" w:hAnsi="Calibri"/>
          <w:color w:val="374151"/>
          <w:sz w:val="22"/>
          <w:szCs w:val="22"/>
        </w:rPr>
        <w:t xml:space="preserve">Identify underperforming brands that require promotional or pricing adjustments</w:t>
      </w:r>
    </w:p>
    <w:p>
      <w:pPr>
        <w:pStyle w:val="ListParagraph"/>
        <w:numPr>
          <w:ilvl w:val="0"/>
          <w:numId w:val="1"/>
        </w:numPr>
        <w:spacing w:after="60" w:before="60"/>
        <w:ind w:left="400"/>
      </w:pPr>
      <w:r>
        <w:rPr>
          <w:rFonts w:ascii="Calibri" w:cs="Calibri" w:eastAsia="Calibri" w:hAnsi="Calibri"/>
          <w:color w:val="374151"/>
          <w:sz w:val="22"/>
          <w:szCs w:val="22"/>
        </w:rPr>
        <w:t xml:space="preserve">Determine top vendors contributing to sales and gross profit</w:t>
      </w:r>
    </w:p>
    <w:p>
      <w:pPr>
        <w:pStyle w:val="ListParagraph"/>
        <w:numPr>
          <w:ilvl w:val="0"/>
          <w:numId w:val="1"/>
        </w:numPr>
        <w:spacing w:after="60" w:before="60"/>
        <w:ind w:left="400"/>
      </w:pPr>
      <w:r>
        <w:rPr>
          <w:rFonts w:ascii="Calibri" w:cs="Calibri" w:eastAsia="Calibri" w:hAnsi="Calibri"/>
          <w:color w:val="374151"/>
          <w:sz w:val="22"/>
          <w:szCs w:val="22"/>
        </w:rPr>
        <w:t xml:space="preserve">Analyze the impact of bulk purchasing on unit costs</w:t>
      </w:r>
    </w:p>
    <w:p>
      <w:pPr>
        <w:pStyle w:val="ListParagraph"/>
        <w:numPr>
          <w:ilvl w:val="0"/>
          <w:numId w:val="1"/>
        </w:numPr>
        <w:spacing w:after="60" w:before="60"/>
        <w:ind w:left="400"/>
      </w:pPr>
      <w:r>
        <w:rPr>
          <w:rFonts w:ascii="Calibri" w:cs="Calibri" w:eastAsia="Calibri" w:hAnsi="Calibri"/>
          <w:color w:val="374151"/>
          <w:sz w:val="22"/>
          <w:szCs w:val="22"/>
        </w:rPr>
        <w:t xml:space="preserve">Assess inventory turnover to reduce holding costs and improve efficiency</w:t>
      </w:r>
    </w:p>
    <w:p>
      <w:pPr>
        <w:pStyle w:val="ListParagraph"/>
        <w:numPr>
          <w:ilvl w:val="0"/>
          <w:numId w:val="1"/>
        </w:numPr>
        <w:spacing w:after="60" w:before="60"/>
        <w:ind w:left="400"/>
      </w:pPr>
      <w:r>
        <w:rPr>
          <w:rFonts w:ascii="Calibri" w:cs="Calibri" w:eastAsia="Calibri" w:hAnsi="Calibri"/>
          <w:color w:val="374151"/>
          <w:sz w:val="22"/>
          <w:szCs w:val="22"/>
        </w:rPr>
        <w:t xml:space="preserve">Investigate the profitability variance between high-performing and low-performing vendors</w:t>
      </w:r>
    </w:p>
    <w:p>
      <w:pPr>
        <w:spacing w:after="0" w:before="0"/>
      </w:pPr>
      <w:r>
        <w:t xml:space="preserve"/>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Data Sources</w:t>
      </w:r>
    </w:p>
    <w:p>
      <w:pPr>
        <w:spacing w:after="0" w:before="0"/>
      </w:pPr>
      <w:r>
        <w:t xml:space="preserve"/>
      </w:r>
    </w:p>
    <w:p>
      <w:pPr>
        <w:spacing w:after="80" w:before="80"/>
        <w:jc w:val="both"/>
      </w:pPr>
      <w:r>
        <w:rPr>
          <w:rFonts w:ascii="Calibri" w:cs="Calibri" w:eastAsia="Calibri" w:hAnsi="Calibri"/>
          <w:color w:val="374151"/>
          <w:sz w:val="22"/>
          <w:szCs w:val="22"/>
        </w:rPr>
        <w:t xml:space="preserve">The analysis utilized six relational database tables:</w:t>
      </w:r>
    </w:p>
    <w:p>
      <w:pPr>
        <w:spacing w:after="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shd w:fill="6B21A8" w:color="6B21A8" w:val="clear"/>
            <w:tcMar>
              <w:top w:type="dxa" w:w="80"/>
              <w:left w:type="dxa" w:w="100"/>
              <w:bottom w:type="dxa" w:w="80"/>
              <w:right w:type="dxa" w:w="100"/>
            </w:tcMar>
          </w:tcPr>
          <w:p>
            <w:r>
              <w:rPr>
                <w:rFonts w:ascii="Calibri" w:cs="Calibri" w:eastAsia="Calibri" w:hAnsi="Calibri"/>
                <w:b/>
                <w:bCs/>
                <w:color w:val="FFFFFF"/>
                <w:sz w:val="18"/>
                <w:szCs w:val="18"/>
              </w:rPr>
              <w:t xml:space="preserve">Table</w:t>
            </w:r>
          </w:p>
        </w:tc>
        <w:tc>
          <w:tcPr>
            <w:shd w:fill="6B21A8" w:color="6B21A8"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shd w:fill="6B21A8" w:color="6B21A8" w:val="clear"/>
            <w:tcMar>
              <w:top w:type="dxa" w:w="80"/>
              <w:left w:type="dxa" w:w="100"/>
              <w:bottom w:type="dxa" w:w="80"/>
              <w:right w:type="dxa" w:w="100"/>
            </w:tcMar>
          </w:tcPr>
          <w:p>
            <w:r>
              <w:rPr>
                <w:rFonts w:ascii="Calibri" w:cs="Calibri" w:eastAsia="Calibri" w:hAnsi="Calibri"/>
                <w:b/>
                <w:bCs/>
                <w:color w:val="FFFFFF"/>
                <w:sz w:val="18"/>
                <w:szCs w:val="18"/>
              </w:rPr>
              <w:t xml:space="preserve">Key Columns</w:t>
            </w:r>
          </w:p>
        </w:tc>
      </w:tr>
      <w:tr>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purchases</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Individual purchase order line items</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VendorNumber, Brand, Quantity, Dollars, PONumber</w:t>
            </w:r>
          </w:p>
        </w:tc>
      </w:tr>
      <w:tr>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sales_1</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12.8M sales transactions (Jan–Dec 2026)</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VendorNo, Brand, SalesQuantity, SalesDollars, ExciseTax</w:t>
            </w:r>
          </w:p>
        </w:tc>
      </w:tr>
      <w:tr>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vendor_invoice</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Invoice-level vendor data including freight</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VendorNumber, PONumber, Freight, Dollars</w:t>
            </w:r>
          </w:p>
        </w:tc>
      </w:tr>
      <w:tr>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purchase_prices</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Vendor standard list prices by brand</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Brand, VendorNumber, Price, Volume</w:t>
            </w:r>
          </w:p>
        </w:tc>
      </w:tr>
      <w:tr>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begin_inventory</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Stock on hand as of January 1, 2026</w:t>
            </w:r>
          </w:p>
        </w:tc>
        <w:tc>
          <w:tcPr>
            <w:shd w:fill="FFFFFF" w:color="FFFFFF" w:val="clear"/>
            <w:tcMar>
              <w:top w:type="dxa" w:w="80"/>
              <w:left w:type="dxa" w:w="100"/>
              <w:bottom w:type="dxa" w:w="80"/>
              <w:right w:type="dxa" w:w="100"/>
            </w:tcMar>
          </w:tcPr>
          <w:p>
            <w:r>
              <w:rPr>
                <w:rFonts w:ascii="Calibri" w:cs="Calibri" w:eastAsia="Calibri" w:hAnsi="Calibri"/>
                <w:color w:val="1E1B4B"/>
                <w:sz w:val="18"/>
                <w:szCs w:val="18"/>
              </w:rPr>
              <w:t xml:space="preserve">Brand, Store, onHand, Price</w:t>
            </w:r>
          </w:p>
        </w:tc>
      </w:tr>
      <w:tr>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end_inventory</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Stock on hand as of December 31, 2026</w:t>
            </w:r>
          </w:p>
        </w:tc>
        <w:tc>
          <w:tcPr>
            <w:shd w:fill="F3F4F6" w:color="F3F4F6" w:val="clear"/>
            <w:tcMar>
              <w:top w:type="dxa" w:w="80"/>
              <w:left w:type="dxa" w:w="100"/>
              <w:bottom w:type="dxa" w:w="80"/>
              <w:right w:type="dxa" w:w="100"/>
            </w:tcMar>
          </w:tcPr>
          <w:p>
            <w:r>
              <w:rPr>
                <w:rFonts w:ascii="Calibri" w:cs="Calibri" w:eastAsia="Calibri" w:hAnsi="Calibri"/>
                <w:color w:val="1E1B4B"/>
                <w:sz w:val="18"/>
                <w:szCs w:val="18"/>
              </w:rPr>
              <w:t xml:space="preserve">Brand, Store, onHand, Price</w:t>
            </w:r>
          </w:p>
        </w:tc>
      </w:tr>
    </w:tbl>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3. METHODOLOGY</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Data Pipeline</w:t>
      </w:r>
    </w:p>
    <w:p>
      <w:pPr>
        <w:spacing w:after="0" w:before="0"/>
      </w:pPr>
      <w:r>
        <w:t xml:space="preserve"/>
      </w:r>
    </w:p>
    <w:p>
      <w:pPr>
        <w:spacing w:after="80" w:before="80"/>
        <w:jc w:val="both"/>
      </w:pPr>
      <w:r>
        <w:rPr>
          <w:rFonts w:ascii="Calibri" w:cs="Calibri" w:eastAsia="Calibri" w:hAnsi="Calibri"/>
          <w:color w:val="374151"/>
          <w:sz w:val="22"/>
          <w:szCs w:val="22"/>
        </w:rPr>
        <w:t xml:space="preserve">The analysis followed a structured SQL-first approach before visualization in Power BI:</w:t>
      </w:r>
    </w:p>
    <w:p>
      <w:pPr>
        <w:spacing w:after="0" w:before="0"/>
      </w:pPr>
      <w:r>
        <w:t xml:space="preserve"/>
      </w:r>
    </w:p>
    <w:p>
      <w:pPr>
        <w:pStyle w:val="ListParagraph"/>
        <w:numPr>
          <w:ilvl w:val="0"/>
          <w:numId w:val="1"/>
        </w:numPr>
        <w:spacing w:after="60" w:before="60"/>
        <w:ind w:left="400"/>
      </w:pPr>
      <w:r>
        <w:rPr>
          <w:rFonts w:ascii="Calibri" w:cs="Calibri" w:eastAsia="Calibri" w:hAnsi="Calibri"/>
          <w:color w:val="374151"/>
          <w:sz w:val="22"/>
          <w:szCs w:val="22"/>
        </w:rPr>
        <w:t xml:space="preserve">Step 1 — Database Setup: Six CSV files were imported into a MySQL database (vendor_performance schema) with appropriate data types</w:t>
      </w:r>
    </w:p>
    <w:p>
      <w:pPr>
        <w:pStyle w:val="ListParagraph"/>
        <w:numPr>
          <w:ilvl w:val="0"/>
          <w:numId w:val="1"/>
        </w:numPr>
        <w:spacing w:after="60" w:before="60"/>
        <w:ind w:left="400"/>
      </w:pPr>
      <w:r>
        <w:rPr>
          <w:rFonts w:ascii="Calibri" w:cs="Calibri" w:eastAsia="Calibri" w:hAnsi="Calibri"/>
          <w:color w:val="374151"/>
          <w:sz w:val="22"/>
          <w:szCs w:val="22"/>
        </w:rPr>
        <w:t xml:space="preserve">Step 2 — Data Validation: Join key integrity verified between purchases.VendorNumber ↔ vendor_invoice.VendorNumber and Brand IDs across all tables</w:t>
      </w:r>
    </w:p>
    <w:p>
      <w:pPr>
        <w:pStyle w:val="ListParagraph"/>
        <w:numPr>
          <w:ilvl w:val="0"/>
          <w:numId w:val="1"/>
        </w:numPr>
        <w:spacing w:after="60" w:before="60"/>
        <w:ind w:left="400"/>
      </w:pPr>
      <w:r>
        <w:rPr>
          <w:rFonts w:ascii="Calibri" w:cs="Calibri" w:eastAsia="Calibri" w:hAnsi="Calibri"/>
          <w:color w:val="374151"/>
          <w:sz w:val="22"/>
          <w:szCs w:val="22"/>
        </w:rPr>
        <w:t xml:space="preserve">Step 3 — Purchase Aggregation (PurchaseSummary CTE): Purchases joined with vendor_invoice on VendorNumber + PONumber to correctly attribute freight costs without fan-out duplication</w:t>
      </w:r>
    </w:p>
    <w:p>
      <w:pPr>
        <w:pStyle w:val="ListParagraph"/>
        <w:numPr>
          <w:ilvl w:val="0"/>
          <w:numId w:val="1"/>
        </w:numPr>
        <w:spacing w:after="60" w:before="60"/>
        <w:ind w:left="400"/>
      </w:pPr>
      <w:r>
        <w:rPr>
          <w:rFonts w:ascii="Calibri" w:cs="Calibri" w:eastAsia="Calibri" w:hAnsi="Calibri"/>
          <w:color w:val="374151"/>
          <w:sz w:val="22"/>
          <w:szCs w:val="22"/>
        </w:rPr>
        <w:t xml:space="preserve">Step 4 — Sales Aggregation (SalesSummary CTE): Sales_1 table grouped by VendorNo + Brand to produce total sales quantity, dollars, and excise tax</w:t>
      </w:r>
    </w:p>
    <w:p>
      <w:pPr>
        <w:pStyle w:val="ListParagraph"/>
        <w:numPr>
          <w:ilvl w:val="0"/>
          <w:numId w:val="1"/>
        </w:numPr>
        <w:spacing w:after="60" w:before="60"/>
        <w:ind w:left="400"/>
      </w:pPr>
      <w:r>
        <w:rPr>
          <w:rFonts w:ascii="Calibri" w:cs="Calibri" w:eastAsia="Calibri" w:hAnsi="Calibri"/>
          <w:color w:val="374151"/>
          <w:sz w:val="22"/>
          <w:szCs w:val="22"/>
        </w:rPr>
        <w:t xml:space="preserve">Step 5 — Master Summary Table: PurchaseSummary and SalesSummary combined using UNION-based full outer join simulation (MySQL does not natively support FULL OUTER JOIN)</w:t>
      </w:r>
    </w:p>
    <w:p>
      <w:pPr>
        <w:pStyle w:val="ListParagraph"/>
        <w:numPr>
          <w:ilvl w:val="0"/>
          <w:numId w:val="1"/>
        </w:numPr>
        <w:spacing w:after="60" w:before="60"/>
        <w:ind w:left="400"/>
      </w:pPr>
      <w:r>
        <w:rPr>
          <w:rFonts w:ascii="Calibri" w:cs="Calibri" w:eastAsia="Calibri" w:hAnsi="Calibri"/>
          <w:color w:val="374151"/>
          <w:sz w:val="22"/>
          <w:szCs w:val="22"/>
        </w:rPr>
        <w:t xml:space="preserve">Step 6 — Derived Metrics: GrossProfit, GrossMarginPct, SalesToPurchaseRatio calculated as SQL expressions</w:t>
      </w:r>
    </w:p>
    <w:p>
      <w:pPr>
        <w:pStyle w:val="ListParagraph"/>
        <w:numPr>
          <w:ilvl w:val="0"/>
          <w:numId w:val="1"/>
        </w:numPr>
        <w:spacing w:after="60" w:before="60"/>
        <w:ind w:left="400"/>
      </w:pPr>
      <w:r>
        <w:rPr>
          <w:rFonts w:ascii="Calibri" w:cs="Calibri" w:eastAsia="Calibri" w:hAnsi="Calibri"/>
          <w:color w:val="374151"/>
          <w:sz w:val="22"/>
          <w:szCs w:val="22"/>
        </w:rPr>
        <w:t xml:space="preserve">Step 7 — Inventory Turnover: Begin and end inventory aggregated to brand level, turnover ratio calculated as TotalSalesQuantity / AvgInventory</w:t>
      </w:r>
    </w:p>
    <w:p>
      <w:pPr>
        <w:pStyle w:val="ListParagraph"/>
        <w:numPr>
          <w:ilvl w:val="0"/>
          <w:numId w:val="1"/>
        </w:numPr>
        <w:spacing w:after="60" w:before="60"/>
        <w:ind w:left="400"/>
      </w:pPr>
      <w:r>
        <w:rPr>
          <w:rFonts w:ascii="Calibri" w:cs="Calibri" w:eastAsia="Calibri" w:hAnsi="Calibri"/>
          <w:color w:val="374151"/>
          <w:sz w:val="22"/>
          <w:szCs w:val="22"/>
        </w:rPr>
        <w:t xml:space="preserve">Step 8 — Final Table: CREATE TABLE AS SELECT materialized the complete 11,450-row summary for Power BI connection</w:t>
      </w:r>
    </w:p>
    <w:p>
      <w:pPr>
        <w:spacing w:after="0" w:before="0"/>
      </w:pPr>
      <w:r>
        <w:t xml:space="preserve"/>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Key SQL Technique: Preventing Fan-Out in Joins</w:t>
      </w:r>
    </w:p>
    <w:p>
      <w:pPr>
        <w:spacing w:after="0" w:before="0"/>
      </w:pPr>
      <w:r>
        <w:t xml:space="preserve"/>
      </w:r>
    </w:p>
    <w:p>
      <w:pPr>
        <w:spacing w:after="80" w:before="80"/>
        <w:jc w:val="both"/>
      </w:pPr>
      <w:r>
        <w:rPr>
          <w:rFonts w:ascii="Calibri" w:cs="Calibri" w:eastAsia="Calibri" w:hAnsi="Calibri"/>
          <w:color w:val="374151"/>
          <w:sz w:val="22"/>
          <w:szCs w:val="22"/>
        </w:rPr>
        <w:t xml:space="preserve">A critical design decision was joining purchases to vendor_invoice on both VendorNumber AND PONumber (not VendorNumber alone). Joining on VendorNumber alone would create a many-to-many relationship — every invoice row for a vendor matching every purchase row for that vendor — dramatically inflating freight cost totals. The dual-key join ensures a clean one-to-one PO-to-invoice relationship.</w:t>
      </w:r>
    </w:p>
    <w:p>
      <w:pPr>
        <w:spacing w:after="0" w:before="0"/>
      </w:pPr>
      <w:r>
        <w:t xml:space="preserve"/>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Limitations</w:t>
      </w:r>
    </w:p>
    <w:p>
      <w:pPr>
        <w:spacing w:after="0" w:before="0"/>
      </w:pPr>
      <w:r>
        <w:t xml:space="preserve"/>
      </w:r>
    </w:p>
    <w:p>
      <w:pPr>
        <w:spacing w:after="80" w:before="80"/>
        <w:jc w:val="both"/>
      </w:pPr>
      <w:r>
        <w:rPr>
          <w:rFonts w:ascii="Calibri" w:cs="Calibri" w:eastAsia="Calibri" w:hAnsi="Calibri"/>
          <w:color w:val="374151"/>
          <w:sz w:val="22"/>
          <w:szCs w:val="22"/>
        </w:rPr>
        <w:t xml:space="preserve">Gross profit figures represent a period-based approximation (Sales Dollars minus Purchase Dollars for the same period) rather than true COGS-based profitability. Inventory timing differences — products purchased in prior periods and sold in 2026, or purchased in 2026 but not yet sold — may affect absolute accuracy. Results should be interpreted as directional indicators for vendor performance ranking rather than precise accounting figures.</w:t>
      </w:r>
    </w:p>
    <w:p>
      <w:pPr>
        <w:spacing w:after="80" w:before="80"/>
        <w:jc w:val="both"/>
      </w:pPr>
      <w:r>
        <w:rPr>
          <w:rFonts w:ascii="Calibri" w:cs="Calibri" w:eastAsia="Calibri" w:hAnsi="Calibri"/>
          <w:color w:val="374151"/>
          <w:sz w:val="22"/>
          <w:szCs w:val="22"/>
        </w:rPr>
        <w:t xml:space="preserve">Inventory turnover ratios for high-velocity brands may be understated due to the begin/end snapshot methodology, which captures only two points in time rather than average stock levels throughout the year.</w:t>
      </w:r>
    </w:p>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4. KEY FINDINGS</w:t>
      </w:r>
    </w:p>
    <w:p>
      <w:pPr>
        <w:spacing w:after="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3000"/>
        <w:gridCol w:w="2000"/>
      </w:tblGrid>
      <w:tr>
        <w:tc>
          <w:tcPr>
            <w:tcW w:type="dxa" w:w="2000"/>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4000"/>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Finding</w:t>
            </w:r>
          </w:p>
        </w:tc>
        <w:tc>
          <w:tcPr>
            <w:tcW w:type="dxa" w:w="2000"/>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Key Metric</w:t>
            </w:r>
          </w:p>
        </w:tc>
        <w:tc>
          <w:tcPr>
            <w:tcW w:type="dxa" w:w="2000"/>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Business Goal</w:t>
            </w:r>
          </w:p>
        </w:tc>
      </w:tr>
      <w:tr>
        <w:tc>
          <w:tcPr>
            <w:tcW w:type="dxa" w:w="2000"/>
            <w:shd w:fill="FFFFFF" w:color="FFFFFF" w:val="clear"/>
            <w:tcMar>
              <w:top w:type="dxa" w:w="80"/>
              <w:left w:type="dxa" w:w="100"/>
              <w:bottom w:type="dxa" w:w="80"/>
              <w:right w:type="dxa" w:w="100"/>
            </w:tcMar>
          </w:tcPr>
          <w:p>
            <w:pPr>
              <w:jc w:val="center"/>
            </w:pPr>
            <w:r>
              <w:rPr>
                <w:rFonts w:ascii="Calibri" w:cs="Calibri" w:eastAsia="Calibri" w:hAnsi="Calibri"/>
                <w:color w:val="1E1B4B"/>
                <w:sz w:val="18"/>
                <w:szCs w:val="18"/>
              </w:rPr>
              <w:t xml:space="preserve">1</w:t>
            </w:r>
          </w:p>
        </w:tc>
        <w:tc>
          <w:tcPr>
            <w:tcW w:type="dxa" w:w="4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Nearly 1 in 5 vendor-brand combinations are loss-making, totaling $4.35M in losses against $130M gross profit</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$4.35M total loss | 18.58% unprofitable</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Goal 1 — Brand Performance</w:t>
            </w:r>
          </w:p>
        </w:tc>
      </w:tr>
      <w:tr>
        <w:tc>
          <w:tcPr>
            <w:tcW w:type="dxa" w:w="2000"/>
            <w:shd w:fill="F3F4F6" w:color="F3F4F6" w:val="clear"/>
            <w:tcMar>
              <w:top w:type="dxa" w:w="80"/>
              <w:left w:type="dxa" w:w="100"/>
              <w:bottom w:type="dxa" w:w="80"/>
              <w:right w:type="dxa" w:w="100"/>
            </w:tcMar>
          </w:tcPr>
          <w:p>
            <w:pPr>
              <w:jc w:val="center"/>
            </w:pPr>
            <w:r>
              <w:rPr>
                <w:rFonts w:ascii="Calibri" w:cs="Calibri" w:eastAsia="Calibri" w:hAnsi="Calibri"/>
                <w:color w:val="1E1B4B"/>
                <w:sz w:val="18"/>
                <w:szCs w:val="18"/>
              </w:rPr>
              <w:t xml:space="preserve">2</w:t>
            </w:r>
          </w:p>
        </w:tc>
        <w:tc>
          <w:tcPr>
            <w:tcW w:type="dxa" w:w="4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Diageo North America Inc dominates with $69M in sales. Top 10 vendors represent the majority of total purchase volume, indicating vendor concentration risk</w:t>
            </w:r>
          </w:p>
        </w:tc>
        <w:tc>
          <w:tcPr>
            <w:tcW w:type="dxa" w:w="2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Diageo: $69M | Top 10 = ~65% of volume</w:t>
            </w:r>
          </w:p>
        </w:tc>
        <w:tc>
          <w:tcPr>
            <w:tcW w:type="dxa" w:w="2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Goal 2 — Top Vendors</w:t>
            </w:r>
          </w:p>
        </w:tc>
      </w:tr>
      <w:tr>
        <w:tc>
          <w:tcPr>
            <w:tcW w:type="dxa" w:w="2000"/>
            <w:shd w:fill="FFFFFF" w:color="FFFFFF" w:val="clear"/>
            <w:tcMar>
              <w:top w:type="dxa" w:w="80"/>
              <w:left w:type="dxa" w:w="100"/>
              <w:bottom w:type="dxa" w:w="80"/>
              <w:right w:type="dxa" w:w="100"/>
            </w:tcMar>
          </w:tcPr>
          <w:p>
            <w:pPr>
              <w:jc w:val="center"/>
            </w:pPr>
            <w:r>
              <w:rPr>
                <w:rFonts w:ascii="Calibri" w:cs="Calibri" w:eastAsia="Calibri" w:hAnsi="Calibri"/>
                <w:color w:val="1E1B4B"/>
                <w:sz w:val="18"/>
                <w:szCs w:val="18"/>
              </w:rPr>
              <w:t xml:space="preserve">3</w:t>
            </w:r>
          </w:p>
        </w:tc>
        <w:tc>
          <w:tcPr>
            <w:tcW w:type="dxa" w:w="4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Larger order quantities consistently achieved lower average unit costs compared to small orders, confirming bulk purchasing delivers measurable savings</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Unit cost decreases across Small → Bulk tiers</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Goal 3 — Bulk Purchasing</w:t>
            </w:r>
          </w:p>
        </w:tc>
      </w:tr>
      <w:tr>
        <w:tc>
          <w:tcPr>
            <w:tcW w:type="dxa" w:w="2000"/>
            <w:shd w:fill="F3F4F6" w:color="F3F4F6" w:val="clear"/>
            <w:tcMar>
              <w:top w:type="dxa" w:w="80"/>
              <w:left w:type="dxa" w:w="100"/>
              <w:bottom w:type="dxa" w:w="80"/>
              <w:right w:type="dxa" w:w="100"/>
            </w:tcMar>
          </w:tcPr>
          <w:p>
            <w:pPr>
              <w:jc w:val="center"/>
            </w:pPr>
            <w:r>
              <w:rPr>
                <w:rFonts w:ascii="Calibri" w:cs="Calibri" w:eastAsia="Calibri" w:hAnsi="Calibri"/>
                <w:color w:val="1E1B4B"/>
                <w:sz w:val="18"/>
                <w:szCs w:val="18"/>
              </w:rPr>
              <w:t xml:space="preserve">4</w:t>
            </w:r>
          </w:p>
        </w:tc>
        <w:tc>
          <w:tcPr>
            <w:tcW w:type="dxa" w:w="4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Significant variance in inventory turnover exists across brands. High-velocity brands maintain lean stock with high sales throughput; slow movers represent holding cost inefficiencies</w:t>
            </w:r>
          </w:p>
        </w:tc>
        <w:tc>
          <w:tcPr>
            <w:tcW w:type="dxa" w:w="2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Turnover range: 0.67 to 4,160+ (lean brands)</w:t>
            </w:r>
          </w:p>
        </w:tc>
        <w:tc>
          <w:tcPr>
            <w:tcW w:type="dxa" w:w="2000"/>
            <w:shd w:fill="F3F4F6" w:color="F3F4F6" w:val="clear"/>
            <w:tcMar>
              <w:top w:type="dxa" w:w="80"/>
              <w:left w:type="dxa" w:w="100"/>
              <w:bottom w:type="dxa" w:w="80"/>
              <w:right w:type="dxa" w:w="100"/>
            </w:tcMar>
          </w:tcPr>
          <w:p>
            <w:pPr>
              <w:jc w:val="left"/>
            </w:pPr>
            <w:r>
              <w:rPr>
                <w:rFonts w:ascii="Calibri" w:cs="Calibri" w:eastAsia="Calibri" w:hAnsi="Calibri"/>
                <w:color w:val="1E1B4B"/>
                <w:sz w:val="18"/>
                <w:szCs w:val="18"/>
              </w:rPr>
              <w:t xml:space="preserve">Goal 4 — Inventory Turnover</w:t>
            </w:r>
          </w:p>
        </w:tc>
      </w:tr>
      <w:tr>
        <w:tc>
          <w:tcPr>
            <w:tcW w:type="dxa" w:w="2000"/>
            <w:shd w:fill="FFFFFF" w:color="FFFFFF" w:val="clear"/>
            <w:tcMar>
              <w:top w:type="dxa" w:w="80"/>
              <w:left w:type="dxa" w:w="100"/>
              <w:bottom w:type="dxa" w:w="80"/>
              <w:right w:type="dxa" w:w="100"/>
            </w:tcMar>
          </w:tcPr>
          <w:p>
            <w:pPr>
              <w:jc w:val="center"/>
            </w:pPr>
            <w:r>
              <w:rPr>
                <w:rFonts w:ascii="Calibri" w:cs="Calibri" w:eastAsia="Calibri" w:hAnsi="Calibri"/>
                <w:color w:val="1E1B4B"/>
                <w:sz w:val="18"/>
                <w:szCs w:val="18"/>
              </w:rPr>
              <w:t xml:space="preserve">5</w:t>
            </w:r>
          </w:p>
        </w:tc>
        <w:tc>
          <w:tcPr>
            <w:tcW w:type="dxa" w:w="4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Clear profitability gap between top and bottom vendors. Loss-making vendors include Adamba Imports (-$9.2K), Black Cove Beverages (-$8.2K), and Vineyard Brands (-$6.6K)</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Margin variance spans profitable to deeply negative</w:t>
            </w:r>
          </w:p>
        </w:tc>
        <w:tc>
          <w:tcPr>
            <w:tcW w:type="dxa" w:w="2000"/>
            <w:shd w:fill="FFFFFF" w:color="FFFFFF" w:val="clear"/>
            <w:tcMar>
              <w:top w:type="dxa" w:w="80"/>
              <w:left w:type="dxa" w:w="100"/>
              <w:bottom w:type="dxa" w:w="80"/>
              <w:right w:type="dxa" w:w="100"/>
            </w:tcMar>
          </w:tcPr>
          <w:p>
            <w:pPr>
              <w:jc w:val="left"/>
            </w:pPr>
            <w:r>
              <w:rPr>
                <w:rFonts w:ascii="Calibri" w:cs="Calibri" w:eastAsia="Calibri" w:hAnsi="Calibri"/>
                <w:color w:val="1E1B4B"/>
                <w:sz w:val="18"/>
                <w:szCs w:val="18"/>
              </w:rPr>
              <w:t xml:space="preserve">Goal 5 — Vendor Variance</w:t>
            </w:r>
          </w:p>
        </w:tc>
      </w:tr>
    </w:tbl>
    <w:p>
      <w:pPr>
        <w:spacing w:after="0" w:before="0"/>
      </w:pPr>
      <w:r>
        <w:t xml:space="preserve"/>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Finding 1 — Underperforming Brands (Goal 1)</w:t>
      </w:r>
    </w:p>
    <w:p>
      <w:pPr>
        <w:spacing w:after="80" w:before="80"/>
        <w:jc w:val="both"/>
      </w:pPr>
      <w:r>
        <w:rPr>
          <w:rFonts w:ascii="Calibri" w:cs="Calibri" w:eastAsia="Calibri" w:hAnsi="Calibri"/>
          <w:color w:val="374151"/>
          <w:sz w:val="22"/>
          <w:szCs w:val="22"/>
        </w:rPr>
        <w:t xml:space="preserve">2,127 out of 11,450 vendor-brand combinations (18.58%) generated negative gross profit in the 2026 analysis period, accumulating $4.35M in total losses. This is set against $134.5M in profit from performing brands — meaning the loss-making segment represents approximately 3.2% of total potential gross profit. While the overall business remains highly profitable, the concentration of losses in specific vendor-brand combinations represents a targeted, addressable opportunity. Brands with negative gross profit are candidates for immediate pricing review, promotional intervention, or vendor renegotiation.</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Finding 2 — Top Vendors by Sales and Profit (Goal 2)</w:t>
      </w:r>
    </w:p>
    <w:p>
      <w:pPr>
        <w:spacing w:after="80" w:before="80"/>
        <w:jc w:val="both"/>
      </w:pPr>
      <w:r>
        <w:rPr>
          <w:rFonts w:ascii="Calibri" w:cs="Calibri" w:eastAsia="Calibri" w:hAnsi="Calibri"/>
          <w:color w:val="374151"/>
          <w:sz w:val="22"/>
          <w:szCs w:val="22"/>
        </w:rPr>
        <w:t xml:space="preserve">Diageo North America Inc leads all vendors with $69M in total sales, followed by Martignetti Companies ($41M), Pernod Ricard USA ($32M), and Jim Beam Brands Company ($32M). The top 10 vendors collectively contribute the substantial majority of total sales volume and purchase dollars. This concentration, while reflecting strong partnerships, also represents a dependency risk — over-reliance on a small number of vendors exposes the business to supply disruption if any key relationship deteriorates.</w:t>
      </w:r>
    </w:p>
    <w:p>
      <w:pPr>
        <w:spacing w:after="0" w:before="0"/>
      </w:pPr>
      <w:r>
        <w:t xml:space="preserve"/>
      </w:r>
    </w:p>
    <w:p>
      <w:pPr>
        <w:spacing w:after="80" w:before="80"/>
        <w:jc w:val="both"/>
      </w:pPr>
      <w:r>
        <w:rPr>
          <w:rFonts w:ascii="Calibri" w:cs="Calibri" w:eastAsia="Calibri" w:hAnsi="Calibri"/>
          <w:color w:val="374151"/>
          <w:sz w:val="22"/>
          <w:szCs w:val="22"/>
        </w:rPr>
        <w:t xml:space="preserve">Top brands by sales revenue include Jack Daniels No 7 Black ($8.0M), Tito's Handmade Vodka ($7.4M), and Grey Goose Vodka ($7.2M), all from established premium spirits categories with strong consumer demand.</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Finding 3 — Bulk Purchasing Impact on Unit Cost (Goal 3)</w:t>
      </w:r>
    </w:p>
    <w:p>
      <w:pPr>
        <w:spacing w:after="80" w:before="80"/>
        <w:jc w:val="both"/>
      </w:pPr>
      <w:r>
        <w:rPr>
          <w:rFonts w:ascii="Calibri" w:cs="Calibri" w:eastAsia="Calibri" w:hAnsi="Calibri"/>
          <w:color w:val="374151"/>
          <w:sz w:val="22"/>
          <w:szCs w:val="22"/>
        </w:rPr>
        <w:t xml:space="preserve">Analysis of purchase orders segmented by order size (Small: 1-10 units, Medium: 11-50 units, Large: 51-200 units, Bulk: 200+ units) reveals a consistent inverse relationship between order quantity and average unit cost. Bulk orders achieve meaningfully lower per-unit costs compared to small orders, validating the strategic value of consolidated purchasing. This finding supports expanding bulk purchasing agreements with key vendors where storage capacity and demand forecasting allow.</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Finding 4 — Inventory Turnover (Goal 4)</w:t>
      </w:r>
    </w:p>
    <w:p>
      <w:pPr>
        <w:spacing w:after="80" w:before="80"/>
        <w:jc w:val="both"/>
      </w:pPr>
      <w:r>
        <w:rPr>
          <w:rFonts w:ascii="Calibri" w:cs="Calibri" w:eastAsia="Calibri" w:hAnsi="Calibri"/>
          <w:color w:val="374151"/>
          <w:sz w:val="22"/>
          <w:szCs w:val="22"/>
        </w:rPr>
        <w:t xml:space="preserve">Inventory turnover varied significantly across the brand portfolio. The metric is calculated as Total Units Sold divided by Average Inventory (beginning plus ending inventory divided by two) for the 2026 period. High-turnover brands demonstrate lean, efficient inventory management — maintaining low stock levels relative to sales volume. Low-turnover brands represent capital tied up in slow-moving stock, incurring holding costs without proportional revenue return. These brands are prime candidates for promotional markdown strategies to accelerate clearance.</w:t>
      </w:r>
    </w:p>
    <w:p>
      <w:pPr>
        <w:spacing w:after="0" w:before="0"/>
      </w:pPr>
      <w:r>
        <w:t xml:space="preserve"/>
      </w:r>
    </w:p>
    <w:p>
      <w:pPr>
        <w:pStyle w:val="Heading3"/>
        <w:spacing w:after="100" w:before="200"/>
      </w:pPr>
      <w:r>
        <w:rPr>
          <w:rFonts w:ascii="Calibri" w:cs="Calibri" w:eastAsia="Calibri" w:hAnsi="Calibri"/>
          <w:b/>
          <w:bCs/>
          <w:color w:val="1E1B4B"/>
          <w:sz w:val="24"/>
          <w:szCs w:val="24"/>
        </w:rPr>
        <w:t xml:space="preserve">Finding 5 — Profitability Variance Between Vendors (Goal 5)</w:t>
      </w:r>
    </w:p>
    <w:p>
      <w:pPr>
        <w:spacing w:after="80" w:before="80"/>
        <w:jc w:val="both"/>
      </w:pPr>
      <w:r>
        <w:rPr>
          <w:rFonts w:ascii="Calibri" w:cs="Calibri" w:eastAsia="Calibri" w:hAnsi="Calibri"/>
          <w:color w:val="374151"/>
          <w:sz w:val="22"/>
          <w:szCs w:val="22"/>
        </w:rPr>
        <w:t xml:space="preserve">A pronounced performance gap exists between the highest and lowest performing vendors. While top vendors like Diageo North America and Martignetti Companies drive tens of millions in revenue with positive margins, loss-making vendors such as Adamba Imports ($-9.2K), Black Cove Beverages ($-8.2K), and Vineyard Brands ($-6.6K) consistently generate negative gross profit across their brand portfolios. This variance suggests structural misalignment between purchase costs and selling prices for specific vendor relationships, warranting targeted renegotiation or contract review.</w:t>
      </w:r>
    </w:p>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5. RECOMMENDATIONS</w:t>
      </w:r>
    </w:p>
    <w:p>
      <w:pPr>
        <w:spacing w:after="0" w:before="0"/>
      </w:pPr>
      <w:r>
        <w:t xml:space="preserve"/>
      </w:r>
    </w:p>
    <w:p>
      <w:pPr>
        <w:spacing w:after="80" w:before="80"/>
        <w:jc w:val="both"/>
      </w:pPr>
      <w:r>
        <w:rPr>
          <w:rFonts w:ascii="Calibri" w:cs="Calibri" w:eastAsia="Calibri" w:hAnsi="Calibri"/>
          <w:color w:val="374151"/>
          <w:sz w:val="22"/>
          <w:szCs w:val="22"/>
        </w:rPr>
        <w:t xml:space="preserve">Based on the findings above, the following strategic recommendations are proposed to optimize vendor performance, reduce losses, and improve overall profitability:</w:t>
      </w:r>
    </w:p>
    <w:p>
      <w:pPr>
        <w:spacing w:after="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3000"/>
        <w:gridCol w:w="2000"/>
      </w:tblGrid>
      <w:tr>
        <w:tc>
          <w:tcPr>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Recommendation</w:t>
            </w:r>
          </w:p>
        </w:tc>
        <w:tc>
          <w:tcPr>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Based On</w:t>
            </w:r>
          </w:p>
        </w:tc>
        <w:tc>
          <w:tcPr>
            <w:shd w:fill="6B21A8" w:color="6B21A8"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shd w:fill="FFFFFF" w:color="FFFFFF" w:val="clear"/>
            <w:tcMar>
              <w:top w:type="dxa" w:w="80"/>
              <w:left w:type="dxa" w:w="100"/>
              <w:bottom w:type="dxa" w:w="80"/>
              <w:right w:type="dxa" w:w="100"/>
            </w:tcMar>
          </w:tcPr>
          <w:p>
            <w:pPr>
              <w:jc w:val="center"/>
            </w:pPr>
            <w:r>
              <w:rPr>
                <w:rFonts w:ascii="Calibri" w:cs="Calibri" w:eastAsia="Calibri" w:hAnsi="Calibri"/>
                <w:b w:val="false"/>
                <w:bCs w:val="false"/>
                <w:color w:val="1E1B4B"/>
                <w:sz w:val="18"/>
                <w:szCs w:val="18"/>
              </w:rPr>
              <w:t xml:space="preserve">1</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Conduct immediate pricing review for the 2,127 loss-making vendor-brand combinations. Implement price floor policies to ensure selling price consistently exceeds purchase cost plus operating margin target</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Finding 1 — 18.58% unprofitable brands</w:t>
            </w:r>
          </w:p>
        </w:tc>
        <w:tc>
          <w:tcPr>
            <w:shd w:fill="FFFFFF" w:color="FFFFFF" w:val="clear"/>
            <w:tcMar>
              <w:top w:type="dxa" w:w="80"/>
              <w:left w:type="dxa" w:w="100"/>
              <w:bottom w:type="dxa" w:w="80"/>
              <w:right w:type="dxa" w:w="100"/>
            </w:tcMar>
          </w:tcPr>
          <w:p>
            <w:pPr>
              <w:jc w:val="center"/>
            </w:pPr>
            <w:r>
              <w:rPr>
                <w:rFonts w:ascii="Calibri" w:cs="Calibri" w:eastAsia="Calibri" w:hAnsi="Calibri"/>
                <w:b/>
                <w:bCs/>
                <w:color w:val="DC2626"/>
                <w:sz w:val="18"/>
                <w:szCs w:val="18"/>
              </w:rPr>
              <w:t xml:space="preserve">High</w:t>
            </w:r>
          </w:p>
        </w:tc>
      </w:tr>
      <w:tr>
        <w:tc>
          <w:tcPr>
            <w:shd w:fill="F3F4F6" w:color="F3F4F6" w:val="clear"/>
            <w:tcMar>
              <w:top w:type="dxa" w:w="80"/>
              <w:left w:type="dxa" w:w="100"/>
              <w:bottom w:type="dxa" w:w="80"/>
              <w:right w:type="dxa" w:w="100"/>
            </w:tcMar>
          </w:tcPr>
          <w:p>
            <w:pPr>
              <w:jc w:val="center"/>
            </w:pPr>
            <w:r>
              <w:rPr>
                <w:rFonts w:ascii="Calibri" w:cs="Calibri" w:eastAsia="Calibri" w:hAnsi="Calibri"/>
                <w:b w:val="false"/>
                <w:bCs w:val="false"/>
                <w:color w:val="1E1B4B"/>
                <w:sz w:val="18"/>
                <w:szCs w:val="18"/>
              </w:rPr>
              <w:t xml:space="preserve">2</w:t>
            </w:r>
          </w:p>
        </w:tc>
        <w:tc>
          <w:tcPr>
            <w:shd w:fill="F3F4F6" w:color="F3F4F6"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Renegotiate vendor contracts with the top 10 purchase-concentration vendors. Given their 65%+ share of purchase volume, these relationships carry both leverage for better terms and significant dependency risk</w:t>
            </w:r>
          </w:p>
        </w:tc>
        <w:tc>
          <w:tcPr>
            <w:shd w:fill="F3F4F6" w:color="F3F4F6"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Finding 2 — Vendor concentration</w:t>
            </w:r>
          </w:p>
        </w:tc>
        <w:tc>
          <w:tcPr>
            <w:shd w:fill="F3F4F6" w:color="F3F4F6" w:val="clear"/>
            <w:tcMar>
              <w:top w:type="dxa" w:w="80"/>
              <w:left w:type="dxa" w:w="100"/>
              <w:bottom w:type="dxa" w:w="80"/>
              <w:right w:type="dxa" w:w="100"/>
            </w:tcMar>
          </w:tcPr>
          <w:p>
            <w:pPr>
              <w:jc w:val="center"/>
            </w:pPr>
            <w:r>
              <w:rPr>
                <w:rFonts w:ascii="Calibri" w:cs="Calibri" w:eastAsia="Calibri" w:hAnsi="Calibri"/>
                <w:b/>
                <w:bCs/>
                <w:color w:val="DC2626"/>
                <w:sz w:val="18"/>
                <w:szCs w:val="18"/>
              </w:rPr>
              <w:t xml:space="preserve">High</w:t>
            </w:r>
          </w:p>
        </w:tc>
      </w:tr>
      <w:tr>
        <w:tc>
          <w:tcPr>
            <w:shd w:fill="FFFFFF" w:color="FFFFFF" w:val="clear"/>
            <w:tcMar>
              <w:top w:type="dxa" w:w="80"/>
              <w:left w:type="dxa" w:w="100"/>
              <w:bottom w:type="dxa" w:w="80"/>
              <w:right w:type="dxa" w:w="100"/>
            </w:tcMar>
          </w:tcPr>
          <w:p>
            <w:pPr>
              <w:jc w:val="center"/>
            </w:pPr>
            <w:r>
              <w:rPr>
                <w:rFonts w:ascii="Calibri" w:cs="Calibri" w:eastAsia="Calibri" w:hAnsi="Calibri"/>
                <w:b w:val="false"/>
                <w:bCs w:val="false"/>
                <w:color w:val="1E1B4B"/>
                <w:sz w:val="18"/>
                <w:szCs w:val="18"/>
              </w:rPr>
              <w:t xml:space="preserve">3</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Formalize bulk purchasing agreements with key vendors where unit cost savings are confirmed. Establish minimum order quantity thresholds tied to storage capacity and 90-day demand forecasts</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Finding 3 — Bulk purchase savings</w:t>
            </w:r>
          </w:p>
        </w:tc>
        <w:tc>
          <w:tcPr>
            <w:shd w:fill="FFFFFF" w:color="FFFFFF" w:val="clear"/>
            <w:tcMar>
              <w:top w:type="dxa" w:w="80"/>
              <w:left w:type="dxa" w:w="100"/>
              <w:bottom w:type="dxa" w:w="80"/>
              <w:right w:type="dxa" w:w="100"/>
            </w:tcMar>
          </w:tcPr>
          <w:p>
            <w:pPr>
              <w:jc w:val="center"/>
            </w:pPr>
            <w:r>
              <w:rPr>
                <w:rFonts w:ascii="Calibri" w:cs="Calibri" w:eastAsia="Calibri" w:hAnsi="Calibri"/>
                <w:b/>
                <w:bCs/>
                <w:color w:val="D97706"/>
                <w:sz w:val="18"/>
                <w:szCs w:val="18"/>
              </w:rPr>
              <w:t xml:space="preserve">Medium</w:t>
            </w:r>
          </w:p>
        </w:tc>
      </w:tr>
      <w:tr>
        <w:tc>
          <w:tcPr>
            <w:shd w:fill="F3F4F6" w:color="F3F4F6" w:val="clear"/>
            <w:tcMar>
              <w:top w:type="dxa" w:w="80"/>
              <w:left w:type="dxa" w:w="100"/>
              <w:bottom w:type="dxa" w:w="80"/>
              <w:right w:type="dxa" w:w="100"/>
            </w:tcMar>
          </w:tcPr>
          <w:p>
            <w:pPr>
              <w:jc w:val="center"/>
            </w:pPr>
            <w:r>
              <w:rPr>
                <w:rFonts w:ascii="Calibri" w:cs="Calibri" w:eastAsia="Calibri" w:hAnsi="Calibri"/>
                <w:b w:val="false"/>
                <w:bCs w:val="false"/>
                <w:color w:val="1E1B4B"/>
                <w:sz w:val="18"/>
                <w:szCs w:val="18"/>
              </w:rPr>
              <w:t xml:space="preserve">4</w:t>
            </w:r>
          </w:p>
        </w:tc>
        <w:tc>
          <w:tcPr>
            <w:shd w:fill="F3F4F6" w:color="F3F4F6"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Launch promotional clearance campaigns for identified slow-turnover brands. Set maximum days-in-inventory targets by category and trigger automatic markdown protocols when thresholds are breached</w:t>
            </w:r>
          </w:p>
        </w:tc>
        <w:tc>
          <w:tcPr>
            <w:shd w:fill="F3F4F6" w:color="F3F4F6"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Finding 4 — Low inventory turnover</w:t>
            </w:r>
          </w:p>
        </w:tc>
        <w:tc>
          <w:tcPr>
            <w:shd w:fill="F3F4F6" w:color="F3F4F6" w:val="clear"/>
            <w:tcMar>
              <w:top w:type="dxa" w:w="80"/>
              <w:left w:type="dxa" w:w="100"/>
              <w:bottom w:type="dxa" w:w="80"/>
              <w:right w:type="dxa" w:w="100"/>
            </w:tcMar>
          </w:tcPr>
          <w:p>
            <w:pPr>
              <w:jc w:val="center"/>
            </w:pPr>
            <w:r>
              <w:rPr>
                <w:rFonts w:ascii="Calibri" w:cs="Calibri" w:eastAsia="Calibri" w:hAnsi="Calibri"/>
                <w:b/>
                <w:bCs/>
                <w:color w:val="D97706"/>
                <w:sz w:val="18"/>
                <w:szCs w:val="18"/>
              </w:rPr>
              <w:t xml:space="preserve">Medium</w:t>
            </w:r>
          </w:p>
        </w:tc>
      </w:tr>
      <w:tr>
        <w:tc>
          <w:tcPr>
            <w:shd w:fill="FFFFFF" w:color="FFFFFF" w:val="clear"/>
            <w:tcMar>
              <w:top w:type="dxa" w:w="80"/>
              <w:left w:type="dxa" w:w="100"/>
              <w:bottom w:type="dxa" w:w="80"/>
              <w:right w:type="dxa" w:w="100"/>
            </w:tcMar>
          </w:tcPr>
          <w:p>
            <w:pPr>
              <w:jc w:val="center"/>
            </w:pPr>
            <w:r>
              <w:rPr>
                <w:rFonts w:ascii="Calibri" w:cs="Calibri" w:eastAsia="Calibri" w:hAnsi="Calibri"/>
                <w:b w:val="false"/>
                <w:bCs w:val="false"/>
                <w:color w:val="1E1B4B"/>
                <w:sz w:val="18"/>
                <w:szCs w:val="18"/>
              </w:rPr>
              <w:t xml:space="preserve">5</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Implement quarterly vendor performance scorecards tracking margin contribution, turnover, and loss ratio. Consider discontinuing or restructuring relationships with vendors showing consistent multi-quarter losses</w:t>
            </w:r>
          </w:p>
        </w:tc>
        <w:tc>
          <w:tcPr>
            <w:shd w:fill="FFFFFF" w:color="FFFFFF" w:val="clear"/>
            <w:tcMar>
              <w:top w:type="dxa" w:w="80"/>
              <w:left w:type="dxa" w:w="100"/>
              <w:bottom w:type="dxa" w:w="80"/>
              <w:right w:type="dxa" w:w="100"/>
            </w:tcMar>
          </w:tcPr>
          <w:p>
            <w:pPr>
              <w:jc w:val="left"/>
            </w:pPr>
            <w:r>
              <w:rPr>
                <w:rFonts w:ascii="Calibri" w:cs="Calibri" w:eastAsia="Calibri" w:hAnsi="Calibri"/>
                <w:b w:val="false"/>
                <w:bCs w:val="false"/>
                <w:color w:val="1E1B4B"/>
                <w:sz w:val="18"/>
                <w:szCs w:val="18"/>
              </w:rPr>
              <w:t xml:space="preserve">Finding 5 — Vendor variance</w:t>
            </w:r>
          </w:p>
        </w:tc>
        <w:tc>
          <w:tcPr>
            <w:shd w:fill="FFFFFF" w:color="FFFFFF" w:val="clear"/>
            <w:tcMar>
              <w:top w:type="dxa" w:w="80"/>
              <w:left w:type="dxa" w:w="100"/>
              <w:bottom w:type="dxa" w:w="80"/>
              <w:right w:type="dxa" w:w="100"/>
            </w:tcMar>
          </w:tcPr>
          <w:p>
            <w:pPr>
              <w:jc w:val="center"/>
            </w:pPr>
            <w:r>
              <w:rPr>
                <w:rFonts w:ascii="Calibri" w:cs="Calibri" w:eastAsia="Calibri" w:hAnsi="Calibri"/>
                <w:b/>
                <w:bCs/>
                <w:color w:val="DC2626"/>
                <w:sz w:val="18"/>
                <w:szCs w:val="18"/>
              </w:rPr>
              <w:t xml:space="preserve">High</w:t>
            </w:r>
          </w:p>
        </w:tc>
      </w:tr>
    </w:tbl>
    <w:p>
      <w:r>
        <w:br w:type="page"/>
      </w:r>
    </w:p>
    <w:p>
      <w:pPr>
        <w:pStyle w:val="Heading1"/>
        <w:shd w:fill="6B21A8" w:color="6B21A8" w:val="clear"/>
        <w:spacing w:after="200" w:before="200"/>
        <w:ind w:left="200" w:right="200"/>
      </w:pPr>
      <w:r>
        <w:rPr>
          <w:rFonts w:ascii="Calibri" w:cs="Calibri" w:eastAsia="Calibri" w:hAnsi="Calibri"/>
          <w:b/>
          <w:bCs/>
          <w:color w:val="FFFFFF"/>
          <w:sz w:val="36"/>
          <w:szCs w:val="36"/>
        </w:rPr>
        <w:t xml:space="preserve">6. CONCLUSION</w:t>
      </w:r>
    </w:p>
    <w:p>
      <w:pPr>
        <w:spacing w:after="0" w:before="0"/>
      </w:pPr>
      <w:r>
        <w:t xml:space="preserve"/>
      </w:r>
    </w:p>
    <w:p>
      <w:pPr>
        <w:spacing w:after="80" w:before="80"/>
        <w:jc w:val="both"/>
      </w:pPr>
      <w:r>
        <w:rPr>
          <w:rFonts w:ascii="Calibri" w:cs="Calibri" w:eastAsia="Calibri" w:hAnsi="Calibri"/>
          <w:color w:val="374151"/>
          <w:sz w:val="22"/>
          <w:szCs w:val="22"/>
        </w:rPr>
        <w:t xml:space="preserve">This vendor performance analysis demonstrates the power of structured SQL-based data aggregation combined with visual analytics to surface actionable business insights from large-scale transactional data. Processing 12.8 million raw sales records into a clean 11,450-row analytical dataset enabled precise vendor and brand-level performance benchmarking that would not be possible from raw data alone.</w:t>
      </w:r>
    </w:p>
    <w:p>
      <w:pPr>
        <w:spacing w:after="0" w:before="0"/>
      </w:pPr>
      <w:r>
        <w:t xml:space="preserve"/>
      </w:r>
    </w:p>
    <w:p>
      <w:pPr>
        <w:spacing w:after="80" w:before="80"/>
        <w:jc w:val="both"/>
      </w:pPr>
      <w:r>
        <w:rPr>
          <w:rFonts w:ascii="Calibri" w:cs="Calibri" w:eastAsia="Calibri" w:hAnsi="Calibri"/>
          <w:color w:val="374151"/>
          <w:sz w:val="22"/>
          <w:szCs w:val="22"/>
        </w:rPr>
        <w:t xml:space="preserve">The central finding — that 18.58% of vendor-brand combinations are unprofitable, representing $4.35M in recoverable losses against a backdrop of $452M in revenue — provides a clear, quantified mandate for targeted intervention. The business is fundamentally healthy and profitable, but carries an addressable inefficiency concentrated in specific vendor relationships and brand pricing structures.</w:t>
      </w:r>
    </w:p>
    <w:p>
      <w:pPr>
        <w:spacing w:after="0" w:before="0"/>
      </w:pPr>
      <w:r>
        <w:t xml:space="preserve"/>
      </w:r>
    </w:p>
    <w:p>
      <w:pPr>
        <w:spacing w:after="80" w:before="80"/>
        <w:jc w:val="both"/>
      </w:pPr>
      <w:r>
        <w:rPr>
          <w:rFonts w:ascii="Calibri" w:cs="Calibri" w:eastAsia="Calibri" w:hAnsi="Calibri"/>
          <w:color w:val="374151"/>
          <w:sz w:val="22"/>
          <w:szCs w:val="22"/>
        </w:rPr>
        <w:t xml:space="preserve">Implementation of the five recommendations outlined in this report — particularly the pricing floor review, vendor renegotiation, and quarterly performance scorecards — would position the business to recover a meaningful portion of the $4.35M loss pool while strengthening its most productive vendor partnerships.</w:t>
      </w:r>
    </w:p>
    <w:p>
      <w:pPr>
        <w:spacing w:after="0" w:before="0"/>
      </w:pPr>
      <w:r>
        <w:t xml:space="preserve"/>
      </w:r>
    </w:p>
    <w:p>
      <w:pPr>
        <w:spacing w:after="0" w:before="0"/>
      </w:pPr>
      <w:r>
        <w:t xml:space="preserve"/>
      </w:r>
    </w:p>
    <w:p>
      <w:pPr>
        <w:spacing w:after="200" w:before="200"/>
        <w:jc w:val="center"/>
      </w:pPr>
      <w:r>
        <w:rPr>
          <w:rFonts w:ascii="Calibri" w:cs="Calibri" w:eastAsia="Calibri" w:hAnsi="Calibri"/>
          <w:color w:val="6B21A8"/>
          <w:sz w:val="24"/>
          <w:szCs w:val="24"/>
        </w:rPr>
        <w:t xml:space="preserve">━━━━━━━━━━━━━━━━━━━━━━━━━━━━━━━━━━━━━━━━</w:t>
      </w:r>
    </w:p>
    <w:p>
      <w:pPr>
        <w:spacing w:after="80" w:before="0"/>
        <w:jc w:val="center"/>
      </w:pPr>
      <w:r>
        <w:rPr>
          <w:rFonts w:ascii="Calibri" w:cs="Calibri" w:eastAsia="Calibri" w:hAnsi="Calibri"/>
          <w:b/>
          <w:bCs/>
          <w:color w:val="6B21A8"/>
          <w:sz w:val="28"/>
          <w:szCs w:val="28"/>
        </w:rPr>
        <w:t xml:space="preserve">Abhijeet Kishan</w:t>
      </w:r>
    </w:p>
    <w:p>
      <w:pPr>
        <w:spacing w:after="0" w:before="0"/>
        <w:jc w:val="center"/>
      </w:pPr>
      <w:r>
        <w:rPr>
          <w:rFonts w:ascii="Calibri" w:cs="Calibri" w:eastAsia="Calibri" w:hAnsi="Calibri"/>
          <w:color w:val="9CA3AF"/>
          <w:sz w:val="20"/>
          <w:szCs w:val="20"/>
        </w:rPr>
        <w:t xml:space="preserve">Business Analytics Portfolio Project  |  MySQL · Power BI  |  2026</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Calibri" w:cs="Calibri" w:eastAsia="Calibri" w:hAnsi="Calibri"/>
        <w:color w:val="9CA3AF"/>
        <w:sz w:val="16"/>
        <w:szCs w:val="16"/>
      </w:rPr>
      <w:t xml:space="preserve">Confidential — For Portfolio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jc w:val="right"/>
    </w:pPr>
    <w:r>
      <w:rPr>
        <w:rFonts w:ascii="Calibri" w:cs="Calibri" w:eastAsia="Calibri" w:hAnsi="Calibri"/>
        <w:color w:val="9CA3AF"/>
        <w:sz w:val="18"/>
        <w:szCs w:val="18"/>
      </w:rPr>
      <w:t xml:space="preserve">Vendor Performance Analysis Report  |  </w:t>
    </w:r>
    <w:r>
      <w:rPr>
        <w:rFonts w:ascii="Calibri" w:cs="Calibri" w:eastAsia="Calibri" w:hAnsi="Calibri"/>
        <w:b/>
        <w:bCs/>
        <w:color w:val="6B21A8"/>
        <w:sz w:val="18"/>
        <w:szCs w:val="18"/>
      </w:rPr>
      <w:t xml:space="preserve">Abhijeet Kishan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2026-07-15T21:35:43.116Z</dcterms:created>
  <dcterms:modified xsi:type="dcterms:W3CDTF">2026-07-15T21:35:43.131Z</dcterms:modified>
</cp:coreProperties>
</file>

<file path=docProps/custom.xml><?xml version="1.0" encoding="utf-8"?>
<Properties xmlns="http://schemas.openxmlformats.org/officeDocument/2006/custom-properties" xmlns:vt="http://schemas.openxmlformats.org/officeDocument/2006/docPropsVTypes"/>
</file>