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6"/>
          <w:szCs w:val="26"/>
        </w:rPr>
        <w:t xml:space="preserve">CIE – III : Testing, Validation, Results and Inference</w:t>
      </w:r>
    </w:p>
    <w:p>
      <w:pPr>
        <w:spacing w:after="160"/>
        <w:jc w:val="center"/>
      </w:pPr>
      <w:r>
        <w:rPr>
          <w:i/>
          <w:iCs/>
          <w:sz w:val="20"/>
          <w:szCs w:val="20"/>
        </w:rPr>
        <w:t xml:space="preserve">Project: K.A.R.M.A – Cloud SIEM &amp; Active Cyber Deception Platform (Honeypot)</w:t>
      </w:r>
    </w:p>
    <w:p>
      <w:pPr>
        <w:pStyle w:val="Heading1"/>
        <w:spacing w:after="80" w:before="160"/>
      </w:pPr>
      <w:r>
        <w:rPr>
          <w:b/>
          <w:bCs/>
          <w:color w:val="1F3864"/>
        </w:rPr>
        <w:t xml:space="preserve">1. Testing and Validation</w:t>
      </w:r>
    </w:p>
    <w:p>
      <w:pPr>
        <w:spacing w:after="120" w:line="288"/>
        <w:jc w:val="both"/>
      </w:pPr>
      <w:r>
        <w:t xml:space="preserve">The objective of testing was to verify that every KARMA honeypot sensor correctly captures an attack, classifies it against the MITRE ATT&amp;CK framework, assigns a dynamic risk score, streams it live to the dashboard, and contains high-risk attackers — all while the real production server stays untouched. Testing was carried out in two ways: manual black-box testing by launching real attacks from separate machines, and an automated regression suite executed on every change to the code.</w:t>
      </w:r>
    </w:p>
    <w:p>
      <w:pPr>
        <w:pStyle w:val="Heading2"/>
        <w:spacing w:after="80" w:before="160"/>
      </w:pPr>
      <w:r>
        <w:rPr>
          <w:b/>
          <w:bCs/>
          <w:color w:val="2E4A7A"/>
        </w:rPr>
        <w:t xml:space="preserve">1.1 Test Environment</w:t>
      </w:r>
    </w:p>
    <w:p>
      <w:pPr>
        <w:pStyle w:val="ListParagraph"/>
        <w:numPr>
          <w:ilvl w:val="0"/>
          <w:numId w:val="1"/>
        </w:numPr>
        <w:spacing w:after="90" w:line="288"/>
      </w:pPr>
      <w:r>
        <w:rPr>
          <w:b/>
          <w:bCs/>
        </w:rPr>
        <w:t xml:space="preserve">KARMA host PC (Windows):</w:t>
      </w:r>
      <w:r>
        <w:t xml:space="preserve"> runs the server and dashboard over HTTPS at https://karma-honeypot.com; the management console is restricted to loopback (localhost) only.</w:t>
      </w:r>
    </w:p>
    <w:p>
      <w:pPr>
        <w:pStyle w:val="ListParagraph"/>
        <w:numPr>
          <w:ilvl w:val="0"/>
          <w:numId w:val="1"/>
        </w:numPr>
        <w:spacing w:after="90" w:line="288"/>
      </w:pPr>
      <w:r>
        <w:rPr>
          <w:b/>
          <w:bCs/>
        </w:rPr>
        <w:t xml:space="preserve">Attacker PC 1 (Windows)</w:t>
      </w:r>
      <w:r>
        <w:t xml:space="preserve"> and </w:t>
      </w:r>
      <w:r>
        <w:rPr>
          <w:b/>
          <w:bCs/>
        </w:rPr>
        <w:t xml:space="preserve">Attacker PC 2 (Linux / Kali):</w:t>
      </w:r>
      <w:r>
        <w:t xml:space="preserve"> placed on the same LAN / mobile hotspot as the host so they can reach the decoy ports.</w:t>
      </w:r>
    </w:p>
    <w:p>
      <w:pPr>
        <w:pStyle w:val="ListParagraph"/>
        <w:numPr>
          <w:ilvl w:val="0"/>
          <w:numId w:val="1"/>
        </w:numPr>
        <w:spacing w:after="90" w:line="288"/>
      </w:pPr>
      <w:r>
        <w:rPr>
          <w:b/>
          <w:bCs/>
        </w:rPr>
        <w:t xml:space="preserve">Tools used:</w:t>
      </w:r>
      <w:r>
        <w:t xml:space="preserve"> nmap (port scanning), OpenSSH client, ftp, telnet, curl, the Windows RDP client (mstsc) and a standard web browser.</w:t>
      </w:r>
    </w:p>
    <w:p>
      <w:pPr>
        <w:pStyle w:val="ListParagraph"/>
        <w:numPr>
          <w:ilvl w:val="0"/>
          <w:numId w:val="1"/>
        </w:numPr>
        <w:spacing w:after="90" w:line="288"/>
      </w:pPr>
      <w:r>
        <w:rPr>
          <w:b/>
          <w:bCs/>
        </w:rPr>
        <w:t xml:space="preserve">Sensors under test:</w:t>
      </w:r>
      <w:r>
        <w:t xml:space="preserve"> SSH (2222), Web admin trap (8080), FTP (21), Telnet (23), RDP (3389), honeytokens and the decoy-document trap.</w:t>
      </w:r>
    </w:p>
    <w:p>
      <w:pPr>
        <w:pStyle w:val="Heading2"/>
        <w:spacing w:after="80" w:before="160"/>
      </w:pPr>
      <w:r>
        <w:rPr>
          <w:b/>
          <w:bCs/>
          <w:color w:val="2E4A7A"/>
        </w:rPr>
        <w:t xml:space="preserve">1.2 Testing Methodology</w:t>
      </w:r>
    </w:p>
    <w:p>
      <w:pPr>
        <w:spacing w:after="120" w:line="288"/>
        <w:jc w:val="both"/>
      </w:pPr>
      <w:r>
        <w:t xml:space="preserve">Each decoy service was attacked from both attacker PCs, and the resulting telemetry was checked on the live dashboard for the correct source IP, port, MITRE technique, risk score and severity. The attacker's operating system was also verified, as it is fingerprinted from the SSH client banner and the HTTP user-agent. Alongside this manual testing, an automated suite of </w:t>
      </w:r>
      <w:r>
        <w:rPr>
          <w:b/>
          <w:bCs/>
        </w:rPr>
        <w:t xml:space="preserve">38 unit tests</w:t>
      </w:r>
      <w:r>
        <w:t xml:space="preserve"> (covering the database, security middleware, SSH / Telnet / RDP sensors and the threat-scoring engine) plus frontend regression checks were run repeatedly to catch regressions early.</w:t>
      </w:r>
    </w:p>
    <w:p>
      <w:pPr>
        <w:pStyle w:val="Heading2"/>
        <w:spacing w:after="80" w:before="160"/>
      </w:pPr>
      <w:r>
        <w:rPr>
          <w:b/>
          <w:bCs/>
          <w:color w:val="2E4A7A"/>
        </w:rPr>
        <w:t xml:space="preserve">1.3 Sample Validated Attack Flow (SSH)</w:t>
      </w:r>
    </w:p>
    <w:p>
      <w:pPr>
        <w:spacing w:after="120" w:line="288"/>
        <w:jc w:val="both"/>
      </w:pPr>
      <w:r>
        <w:t xml:space="preserve">A representative end-to-end test from the Linux attacker: the attacker ran a connect scan with nmap, which registered on the dashboard as </w:t>
      </w:r>
      <w:r>
        <w:rPr>
          <w:b/>
          <w:bCs/>
        </w:rPr>
        <w:t xml:space="preserve">T1046 (Network Service Discovery)</w:t>
      </w:r>
      <w:r>
        <w:t xml:space="preserve">. They then connected over SSH to port 2222 and attempted a login with root credentials — logged as </w:t>
      </w:r>
      <w:r>
        <w:rPr>
          <w:b/>
          <w:bCs/>
        </w:rPr>
        <w:t xml:space="preserve">T1110 (Brute Force)</w:t>
      </w:r>
      <w:r>
        <w:t xml:space="preserve"> with the password redacted. Inside the fake shell they ran whoami and cat /etc/passwd, which were mapped to </w:t>
      </w:r>
      <w:r>
        <w:rPr>
          <w:b/>
          <w:bCs/>
        </w:rPr>
        <w:t xml:space="preserve">T1059 (Command and Scripting Interpreter)</w:t>
      </w:r>
      <w:r>
        <w:t xml:space="preserve"> and scored 100/100, automatically quarantining the IP on KARMA's sensors. No command ever touched the host operating system, confirming the sandbox isolation works.</w:t>
      </w:r>
    </w:p>
    <w:p>
      <w:pPr>
        <w:pStyle w:val="Heading2"/>
        <w:spacing w:after="80" w:before="160"/>
      </w:pPr>
      <w:r>
        <w:rPr>
          <w:b/>
          <w:bCs/>
          <w:color w:val="2E4A7A"/>
        </w:rPr>
        <w:t xml:space="preserve">1.4 Functional Test Cases</w:t>
      </w:r>
    </w:p>
    <w:tbl>
      <w:tblPr>
        <w:tblW w:type="dxa" w:w="9026"/>
        <w:tblBorders>
          <w:top w:val="single" w:color="999999" w:sz="4"/>
          <w:left w:val="single" w:color="999999" w:sz="4"/>
          <w:bottom w:val="single" w:color="999999" w:sz="4"/>
          <w:right w:val="single" w:color="999999" w:sz="4"/>
          <w:insideH w:val="single" w:color="CCCCCC" w:sz="4"/>
          <w:insideV w:val="single" w:color="CCCCCC" w:sz="4"/>
        </w:tblBorders>
      </w:tblPr>
      <w:tblGrid>
        <w:gridCol w:w="560"/>
        <w:gridCol w:w="3020"/>
        <w:gridCol w:w="2680"/>
        <w:gridCol w:w="2766"/>
      </w:tblGrid>
      <w:tr>
        <w:tc>
          <w:tcPr>
            <w:tcW w:type="dxa" w:w="560"/>
            <w:shd w:fill="F2F2F2" w:color="auto" w:val="clear"/>
            <w:tcMar>
              <w:top w:type="dxa" w:w="40"/>
              <w:left w:type="dxa" w:w="90"/>
              <w:bottom w:type="dxa" w:w="40"/>
              <w:right w:type="dxa" w:w="90"/>
            </w:tcMar>
          </w:tcPr>
          <w:p>
            <w:pPr>
              <w:jc w:val="center"/>
            </w:pPr>
            <w:r>
              <w:rPr>
                <w:b/>
                <w:bCs/>
                <w:sz w:val="19"/>
                <w:szCs w:val="19"/>
              </w:rPr>
              <w:t xml:space="preserve">#</w:t>
            </w:r>
          </w:p>
        </w:tc>
        <w:tc>
          <w:tcPr>
            <w:tcW w:type="dxa" w:w="3020"/>
            <w:shd w:fill="F2F2F2" w:color="auto" w:val="clear"/>
            <w:tcMar>
              <w:top w:type="dxa" w:w="40"/>
              <w:left w:type="dxa" w:w="90"/>
              <w:bottom w:type="dxa" w:w="40"/>
              <w:right w:type="dxa" w:w="90"/>
            </w:tcMar>
          </w:tcPr>
          <w:p>
            <w:pPr>
              <w:jc w:val="center"/>
            </w:pPr>
            <w:r>
              <w:rPr>
                <w:b/>
                <w:bCs/>
                <w:sz w:val="19"/>
                <w:szCs w:val="19"/>
              </w:rPr>
              <w:t xml:space="preserve">Test Case / Attack</w:t>
            </w:r>
          </w:p>
        </w:tc>
        <w:tc>
          <w:tcPr>
            <w:tcW w:type="dxa" w:w="2680"/>
            <w:shd w:fill="F2F2F2" w:color="auto" w:val="clear"/>
            <w:tcMar>
              <w:top w:type="dxa" w:w="40"/>
              <w:left w:type="dxa" w:w="90"/>
              <w:bottom w:type="dxa" w:w="40"/>
              <w:right w:type="dxa" w:w="90"/>
            </w:tcMar>
          </w:tcPr>
          <w:p>
            <w:pPr>
              <w:jc w:val="center"/>
            </w:pPr>
            <w:r>
              <w:rPr>
                <w:b/>
                <w:bCs/>
                <w:sz w:val="19"/>
                <w:szCs w:val="19"/>
              </w:rPr>
              <w:t xml:space="preserve">Expected Behaviour</w:t>
            </w:r>
          </w:p>
        </w:tc>
        <w:tc>
          <w:tcPr>
            <w:tcW w:type="dxa" w:w="2766"/>
            <w:shd w:fill="F2F2F2" w:color="auto" w:val="clear"/>
            <w:tcMar>
              <w:top w:type="dxa" w:w="40"/>
              <w:left w:type="dxa" w:w="90"/>
              <w:bottom w:type="dxa" w:w="40"/>
              <w:right w:type="dxa" w:w="90"/>
            </w:tcMar>
          </w:tcPr>
          <w:p>
            <w:pPr>
              <w:jc w:val="center"/>
            </w:pPr>
            <w:r>
              <w:rPr>
                <w:b/>
                <w:bCs/>
                <w:sz w:val="19"/>
                <w:szCs w:val="19"/>
              </w:rPr>
              <w:t xml:space="preserve">Result</w:t>
            </w:r>
          </w:p>
        </w:tc>
      </w:tr>
      <w:tr>
        <w:tc>
          <w:tcPr>
            <w:tcW w:type="dxa" w:w="560"/>
            <w:tcMar>
              <w:top w:type="dxa" w:w="40"/>
              <w:left w:type="dxa" w:w="90"/>
              <w:bottom w:type="dxa" w:w="40"/>
              <w:right w:type="dxa" w:w="90"/>
            </w:tcMar>
          </w:tcPr>
          <w:p>
            <w:pPr>
              <w:jc w:val="center"/>
            </w:pPr>
            <w:r>
              <w:rPr>
                <w:b w:val="false"/>
                <w:bCs w:val="false"/>
                <w:sz w:val="19"/>
                <w:szCs w:val="19"/>
              </w:rPr>
              <w:t xml:space="preserve">1</w:t>
            </w:r>
          </w:p>
        </w:tc>
        <w:tc>
          <w:tcPr>
            <w:tcW w:type="dxa" w:w="3020"/>
            <w:tcMar>
              <w:top w:type="dxa" w:w="40"/>
              <w:left w:type="dxa" w:w="90"/>
              <w:bottom w:type="dxa" w:w="40"/>
              <w:right w:type="dxa" w:w="90"/>
            </w:tcMar>
          </w:tcPr>
          <w:p>
            <w:pPr>
              <w:jc w:val="left"/>
            </w:pPr>
            <w:r>
              <w:rPr>
                <w:b w:val="false"/>
                <w:bCs w:val="false"/>
                <w:sz w:val="19"/>
                <w:szCs w:val="19"/>
              </w:rPr>
              <w:t xml:space="preserve">SSH brute-force on port 2222</w:t>
            </w:r>
          </w:p>
        </w:tc>
        <w:tc>
          <w:tcPr>
            <w:tcW w:type="dxa" w:w="2680"/>
            <w:tcMar>
              <w:top w:type="dxa" w:w="40"/>
              <w:left w:type="dxa" w:w="90"/>
              <w:bottom w:type="dxa" w:w="40"/>
              <w:right w:type="dxa" w:w="90"/>
            </w:tcMar>
          </w:tcPr>
          <w:p>
            <w:pPr>
              <w:jc w:val="left"/>
            </w:pPr>
            <w:r>
              <w:rPr>
                <w:b w:val="false"/>
                <w:bCs w:val="false"/>
                <w:sz w:val="19"/>
                <w:szCs w:val="19"/>
              </w:rPr>
              <w:t xml:space="preserve">Login logged as T1110, password redacted</w:t>
            </w:r>
          </w:p>
        </w:tc>
        <w:tc>
          <w:tcPr>
            <w:tcW w:type="dxa" w:w="2766"/>
            <w:tcMar>
              <w:top w:type="dxa" w:w="40"/>
              <w:left w:type="dxa" w:w="90"/>
              <w:bottom w:type="dxa" w:w="40"/>
              <w:right w:type="dxa" w:w="90"/>
            </w:tcMar>
          </w:tcPr>
          <w:p>
            <w:pPr>
              <w:jc w:val="left"/>
            </w:pPr>
            <w:r>
              <w:rPr>
                <w:b w:val="false"/>
                <w:bCs w:val="false"/>
                <w:sz w:val="19"/>
                <w:szCs w:val="19"/>
              </w:rPr>
              <w:t xml:space="preserve">Pass</w:t>
            </w:r>
          </w:p>
        </w:tc>
      </w:tr>
      <w:tr>
        <w:tc>
          <w:tcPr>
            <w:tcW w:type="dxa" w:w="560"/>
            <w:tcMar>
              <w:top w:type="dxa" w:w="40"/>
              <w:left w:type="dxa" w:w="90"/>
              <w:bottom w:type="dxa" w:w="40"/>
              <w:right w:type="dxa" w:w="90"/>
            </w:tcMar>
          </w:tcPr>
          <w:p>
            <w:pPr>
              <w:jc w:val="center"/>
            </w:pPr>
            <w:r>
              <w:rPr>
                <w:b w:val="false"/>
                <w:bCs w:val="false"/>
                <w:sz w:val="19"/>
                <w:szCs w:val="19"/>
              </w:rPr>
              <w:t xml:space="preserve">2</w:t>
            </w:r>
          </w:p>
        </w:tc>
        <w:tc>
          <w:tcPr>
            <w:tcW w:type="dxa" w:w="3020"/>
            <w:tcMar>
              <w:top w:type="dxa" w:w="40"/>
              <w:left w:type="dxa" w:w="90"/>
              <w:bottom w:type="dxa" w:w="40"/>
              <w:right w:type="dxa" w:w="90"/>
            </w:tcMar>
          </w:tcPr>
          <w:p>
            <w:pPr>
              <w:jc w:val="left"/>
            </w:pPr>
            <w:r>
              <w:rPr>
                <w:b w:val="false"/>
                <w:bCs w:val="false"/>
                <w:sz w:val="19"/>
                <w:szCs w:val="19"/>
              </w:rPr>
              <w:t xml:space="preserve">SSH command (whoami, cat /etc/passwd)</w:t>
            </w:r>
          </w:p>
        </w:tc>
        <w:tc>
          <w:tcPr>
            <w:tcW w:type="dxa" w:w="2680"/>
            <w:tcMar>
              <w:top w:type="dxa" w:w="40"/>
              <w:left w:type="dxa" w:w="90"/>
              <w:bottom w:type="dxa" w:w="40"/>
              <w:right w:type="dxa" w:w="90"/>
            </w:tcMar>
          </w:tcPr>
          <w:p>
            <w:pPr>
              <w:jc w:val="left"/>
            </w:pPr>
            <w:r>
              <w:rPr>
                <w:b w:val="false"/>
                <w:bCs w:val="false"/>
                <w:sz w:val="19"/>
                <w:szCs w:val="19"/>
              </w:rPr>
              <w:t xml:space="preserve">Mapped to T1059, CRITICAL, IP quarantined</w:t>
            </w:r>
          </w:p>
        </w:tc>
        <w:tc>
          <w:tcPr>
            <w:tcW w:type="dxa" w:w="2766"/>
            <w:tcMar>
              <w:top w:type="dxa" w:w="40"/>
              <w:left w:type="dxa" w:w="90"/>
              <w:bottom w:type="dxa" w:w="40"/>
              <w:right w:type="dxa" w:w="90"/>
            </w:tcMar>
          </w:tcPr>
          <w:p>
            <w:pPr>
              <w:jc w:val="left"/>
            </w:pPr>
            <w:r>
              <w:rPr>
                <w:b w:val="false"/>
                <w:bCs w:val="false"/>
                <w:sz w:val="19"/>
                <w:szCs w:val="19"/>
              </w:rPr>
              <w:t xml:space="preserve">Pass</w:t>
            </w:r>
          </w:p>
        </w:tc>
      </w:tr>
      <w:tr>
        <w:tc>
          <w:tcPr>
            <w:tcW w:type="dxa" w:w="560"/>
            <w:tcMar>
              <w:top w:type="dxa" w:w="40"/>
              <w:left w:type="dxa" w:w="90"/>
              <w:bottom w:type="dxa" w:w="40"/>
              <w:right w:type="dxa" w:w="90"/>
            </w:tcMar>
          </w:tcPr>
          <w:p>
            <w:pPr>
              <w:jc w:val="center"/>
            </w:pPr>
            <w:r>
              <w:rPr>
                <w:b w:val="false"/>
                <w:bCs w:val="false"/>
                <w:sz w:val="19"/>
                <w:szCs w:val="19"/>
              </w:rPr>
              <w:t xml:space="preserve">3</w:t>
            </w:r>
          </w:p>
        </w:tc>
        <w:tc>
          <w:tcPr>
            <w:tcW w:type="dxa" w:w="3020"/>
            <w:tcMar>
              <w:top w:type="dxa" w:w="40"/>
              <w:left w:type="dxa" w:w="90"/>
              <w:bottom w:type="dxa" w:w="40"/>
              <w:right w:type="dxa" w:w="90"/>
            </w:tcMar>
          </w:tcPr>
          <w:p>
            <w:pPr>
              <w:jc w:val="left"/>
            </w:pPr>
            <w:r>
              <w:rPr>
                <w:b w:val="false"/>
                <w:bCs w:val="false"/>
                <w:sz w:val="19"/>
                <w:szCs w:val="19"/>
              </w:rPr>
              <w:t xml:space="preserve">Web SQL-injection on port 8080</w:t>
            </w:r>
          </w:p>
        </w:tc>
        <w:tc>
          <w:tcPr>
            <w:tcW w:type="dxa" w:w="2680"/>
            <w:tcMar>
              <w:top w:type="dxa" w:w="40"/>
              <w:left w:type="dxa" w:w="90"/>
              <w:bottom w:type="dxa" w:w="40"/>
              <w:right w:type="dxa" w:w="90"/>
            </w:tcMar>
          </w:tcPr>
          <w:p>
            <w:pPr>
              <w:jc w:val="left"/>
            </w:pPr>
            <w:r>
              <w:rPr>
                <w:b w:val="false"/>
                <w:bCs w:val="false"/>
                <w:sz w:val="19"/>
                <w:szCs w:val="19"/>
              </w:rPr>
              <w:t xml:space="preserve">Mapped to T1190, HIGH severity</w:t>
            </w:r>
          </w:p>
        </w:tc>
        <w:tc>
          <w:tcPr>
            <w:tcW w:type="dxa" w:w="2766"/>
            <w:tcMar>
              <w:top w:type="dxa" w:w="40"/>
              <w:left w:type="dxa" w:w="90"/>
              <w:bottom w:type="dxa" w:w="40"/>
              <w:right w:type="dxa" w:w="90"/>
            </w:tcMar>
          </w:tcPr>
          <w:p>
            <w:pPr>
              <w:jc w:val="left"/>
            </w:pPr>
            <w:r>
              <w:rPr>
                <w:b w:val="false"/>
                <w:bCs w:val="false"/>
                <w:sz w:val="19"/>
                <w:szCs w:val="19"/>
              </w:rPr>
              <w:t xml:space="preserve">Pass</w:t>
            </w:r>
          </w:p>
        </w:tc>
      </w:tr>
      <w:tr>
        <w:tc>
          <w:tcPr>
            <w:tcW w:type="dxa" w:w="560"/>
            <w:tcMar>
              <w:top w:type="dxa" w:w="40"/>
              <w:left w:type="dxa" w:w="90"/>
              <w:bottom w:type="dxa" w:w="40"/>
              <w:right w:type="dxa" w:w="90"/>
            </w:tcMar>
          </w:tcPr>
          <w:p>
            <w:pPr>
              <w:jc w:val="center"/>
            </w:pPr>
            <w:r>
              <w:rPr>
                <w:b w:val="false"/>
                <w:bCs w:val="false"/>
                <w:sz w:val="19"/>
                <w:szCs w:val="19"/>
              </w:rPr>
              <w:t xml:space="preserve">4</w:t>
            </w:r>
          </w:p>
        </w:tc>
        <w:tc>
          <w:tcPr>
            <w:tcW w:type="dxa" w:w="3020"/>
            <w:tcMar>
              <w:top w:type="dxa" w:w="40"/>
              <w:left w:type="dxa" w:w="90"/>
              <w:bottom w:type="dxa" w:w="40"/>
              <w:right w:type="dxa" w:w="90"/>
            </w:tcMar>
          </w:tcPr>
          <w:p>
            <w:pPr>
              <w:jc w:val="left"/>
            </w:pPr>
            <w:r>
              <w:rPr>
                <w:b w:val="false"/>
                <w:bCs w:val="false"/>
                <w:sz w:val="19"/>
                <w:szCs w:val="19"/>
              </w:rPr>
              <w:t xml:space="preserve">Honeytoken URL / fake API key</w:t>
            </w:r>
          </w:p>
        </w:tc>
        <w:tc>
          <w:tcPr>
            <w:tcW w:type="dxa" w:w="2680"/>
            <w:tcMar>
              <w:top w:type="dxa" w:w="40"/>
              <w:left w:type="dxa" w:w="90"/>
              <w:bottom w:type="dxa" w:w="40"/>
              <w:right w:type="dxa" w:w="90"/>
            </w:tcMar>
          </w:tcPr>
          <w:p>
            <w:pPr>
              <w:jc w:val="left"/>
            </w:pPr>
            <w:r>
              <w:rPr>
                <w:b w:val="false"/>
                <w:bCs w:val="false"/>
                <w:sz w:val="19"/>
                <w:szCs w:val="19"/>
              </w:rPr>
              <w:t xml:space="preserve">T1078 alert raised instantly</w:t>
            </w:r>
          </w:p>
        </w:tc>
        <w:tc>
          <w:tcPr>
            <w:tcW w:type="dxa" w:w="2766"/>
            <w:tcMar>
              <w:top w:type="dxa" w:w="40"/>
              <w:left w:type="dxa" w:w="90"/>
              <w:bottom w:type="dxa" w:w="40"/>
              <w:right w:type="dxa" w:w="90"/>
            </w:tcMar>
          </w:tcPr>
          <w:p>
            <w:pPr>
              <w:jc w:val="left"/>
            </w:pPr>
            <w:r>
              <w:rPr>
                <w:b w:val="false"/>
                <w:bCs w:val="false"/>
                <w:sz w:val="19"/>
                <w:szCs w:val="19"/>
              </w:rPr>
              <w:t xml:space="preserve">Pass</w:t>
            </w:r>
          </w:p>
        </w:tc>
      </w:tr>
      <w:tr>
        <w:tc>
          <w:tcPr>
            <w:tcW w:type="dxa" w:w="560"/>
            <w:tcMar>
              <w:top w:type="dxa" w:w="40"/>
              <w:left w:type="dxa" w:w="90"/>
              <w:bottom w:type="dxa" w:w="40"/>
              <w:right w:type="dxa" w:w="90"/>
            </w:tcMar>
          </w:tcPr>
          <w:p>
            <w:pPr>
              <w:jc w:val="center"/>
            </w:pPr>
            <w:r>
              <w:rPr>
                <w:b w:val="false"/>
                <w:bCs w:val="false"/>
                <w:sz w:val="19"/>
                <w:szCs w:val="19"/>
              </w:rPr>
              <w:t xml:space="preserve">5</w:t>
            </w:r>
          </w:p>
        </w:tc>
        <w:tc>
          <w:tcPr>
            <w:tcW w:type="dxa" w:w="3020"/>
            <w:tcMar>
              <w:top w:type="dxa" w:w="40"/>
              <w:left w:type="dxa" w:w="90"/>
              <w:bottom w:type="dxa" w:w="40"/>
              <w:right w:type="dxa" w:w="90"/>
            </w:tcMar>
          </w:tcPr>
          <w:p>
            <w:pPr>
              <w:jc w:val="left"/>
            </w:pPr>
            <w:r>
              <w:rPr>
                <w:b w:val="false"/>
                <w:bCs w:val="false"/>
                <w:sz w:val="19"/>
                <w:szCs w:val="19"/>
              </w:rPr>
              <w:t xml:space="preserve">Telnet login on port 23</w:t>
            </w:r>
          </w:p>
        </w:tc>
        <w:tc>
          <w:tcPr>
            <w:tcW w:type="dxa" w:w="2680"/>
            <w:tcMar>
              <w:top w:type="dxa" w:w="40"/>
              <w:left w:type="dxa" w:w="90"/>
              <w:bottom w:type="dxa" w:w="40"/>
              <w:right w:type="dxa" w:w="90"/>
            </w:tcMar>
          </w:tcPr>
          <w:p>
            <w:pPr>
              <w:jc w:val="left"/>
            </w:pPr>
            <w:r>
              <w:rPr>
                <w:b w:val="false"/>
                <w:bCs w:val="false"/>
                <w:sz w:val="19"/>
                <w:szCs w:val="19"/>
              </w:rPr>
              <w:t xml:space="preserve">Buffered input, one attempt logged per line</w:t>
            </w:r>
          </w:p>
        </w:tc>
        <w:tc>
          <w:tcPr>
            <w:tcW w:type="dxa" w:w="2766"/>
            <w:tcMar>
              <w:top w:type="dxa" w:w="40"/>
              <w:left w:type="dxa" w:w="90"/>
              <w:bottom w:type="dxa" w:w="40"/>
              <w:right w:type="dxa" w:w="90"/>
            </w:tcMar>
          </w:tcPr>
          <w:p>
            <w:pPr>
              <w:jc w:val="left"/>
            </w:pPr>
            <w:r>
              <w:rPr>
                <w:b w:val="false"/>
                <w:bCs w:val="false"/>
                <w:sz w:val="19"/>
                <w:szCs w:val="19"/>
              </w:rPr>
              <w:t xml:space="preserve">Pass</w:t>
            </w:r>
          </w:p>
        </w:tc>
      </w:tr>
      <w:tr>
        <w:tc>
          <w:tcPr>
            <w:tcW w:type="dxa" w:w="560"/>
            <w:tcMar>
              <w:top w:type="dxa" w:w="40"/>
              <w:left w:type="dxa" w:w="90"/>
              <w:bottom w:type="dxa" w:w="40"/>
              <w:right w:type="dxa" w:w="90"/>
            </w:tcMar>
          </w:tcPr>
          <w:p>
            <w:pPr>
              <w:jc w:val="center"/>
            </w:pPr>
            <w:r>
              <w:rPr>
                <w:b w:val="false"/>
                <w:bCs w:val="false"/>
                <w:sz w:val="19"/>
                <w:szCs w:val="19"/>
              </w:rPr>
              <w:t xml:space="preserve">6</w:t>
            </w:r>
          </w:p>
        </w:tc>
        <w:tc>
          <w:tcPr>
            <w:tcW w:type="dxa" w:w="3020"/>
            <w:tcMar>
              <w:top w:type="dxa" w:w="40"/>
              <w:left w:type="dxa" w:w="90"/>
              <w:bottom w:type="dxa" w:w="40"/>
              <w:right w:type="dxa" w:w="90"/>
            </w:tcMar>
          </w:tcPr>
          <w:p>
            <w:pPr>
              <w:jc w:val="left"/>
            </w:pPr>
            <w:r>
              <w:rPr>
                <w:b w:val="false"/>
                <w:bCs w:val="false"/>
                <w:sz w:val="19"/>
                <w:szCs w:val="19"/>
              </w:rPr>
              <w:t xml:space="preserve">RDP connect on port 3389</w:t>
            </w:r>
          </w:p>
        </w:tc>
        <w:tc>
          <w:tcPr>
            <w:tcW w:type="dxa" w:w="2680"/>
            <w:tcMar>
              <w:top w:type="dxa" w:w="40"/>
              <w:left w:type="dxa" w:w="90"/>
              <w:bottom w:type="dxa" w:w="40"/>
              <w:right w:type="dxa" w:w="90"/>
            </w:tcMar>
          </w:tcPr>
          <w:p>
            <w:pPr>
              <w:jc w:val="left"/>
            </w:pPr>
            <w:r>
              <w:rPr>
                <w:b w:val="false"/>
                <w:bCs w:val="false"/>
                <w:sz w:val="19"/>
                <w:szCs w:val="19"/>
              </w:rPr>
              <w:t xml:space="preserve">Client username (mstshash) captured, T1021</w:t>
            </w:r>
          </w:p>
        </w:tc>
        <w:tc>
          <w:tcPr>
            <w:tcW w:type="dxa" w:w="2766"/>
            <w:tcMar>
              <w:top w:type="dxa" w:w="40"/>
              <w:left w:type="dxa" w:w="90"/>
              <w:bottom w:type="dxa" w:w="40"/>
              <w:right w:type="dxa" w:w="90"/>
            </w:tcMar>
          </w:tcPr>
          <w:p>
            <w:pPr>
              <w:jc w:val="left"/>
            </w:pPr>
            <w:r>
              <w:rPr>
                <w:b w:val="false"/>
                <w:bCs w:val="false"/>
                <w:sz w:val="19"/>
                <w:szCs w:val="19"/>
              </w:rPr>
              <w:t xml:space="preserve">Pass</w:t>
            </w:r>
          </w:p>
        </w:tc>
      </w:tr>
      <w:tr>
        <w:tc>
          <w:tcPr>
            <w:tcW w:type="dxa" w:w="560"/>
            <w:tcMar>
              <w:top w:type="dxa" w:w="40"/>
              <w:left w:type="dxa" w:w="90"/>
              <w:bottom w:type="dxa" w:w="40"/>
              <w:right w:type="dxa" w:w="90"/>
            </w:tcMar>
          </w:tcPr>
          <w:p>
            <w:pPr>
              <w:jc w:val="center"/>
            </w:pPr>
            <w:r>
              <w:rPr>
                <w:b w:val="false"/>
                <w:bCs w:val="false"/>
                <w:sz w:val="19"/>
                <w:szCs w:val="19"/>
              </w:rPr>
              <w:t xml:space="preserve">7</w:t>
            </w:r>
          </w:p>
        </w:tc>
        <w:tc>
          <w:tcPr>
            <w:tcW w:type="dxa" w:w="3020"/>
            <w:tcMar>
              <w:top w:type="dxa" w:w="40"/>
              <w:left w:type="dxa" w:w="90"/>
              <w:bottom w:type="dxa" w:w="40"/>
              <w:right w:type="dxa" w:w="90"/>
            </w:tcMar>
          </w:tcPr>
          <w:p>
            <w:pPr>
              <w:jc w:val="left"/>
            </w:pPr>
            <w:r>
              <w:rPr>
                <w:b w:val="false"/>
                <w:bCs w:val="false"/>
                <w:sz w:val="19"/>
                <w:szCs w:val="19"/>
              </w:rPr>
              <w:t xml:space="preserve">FTP access on port 21</w:t>
            </w:r>
          </w:p>
        </w:tc>
        <w:tc>
          <w:tcPr>
            <w:tcW w:type="dxa" w:w="2680"/>
            <w:tcMar>
              <w:top w:type="dxa" w:w="40"/>
              <w:left w:type="dxa" w:w="90"/>
              <w:bottom w:type="dxa" w:w="40"/>
              <w:right w:type="dxa" w:w="90"/>
            </w:tcMar>
          </w:tcPr>
          <w:p>
            <w:pPr>
              <w:jc w:val="left"/>
            </w:pPr>
            <w:r>
              <w:rPr>
                <w:b w:val="false"/>
                <w:bCs w:val="false"/>
                <w:sz w:val="19"/>
                <w:szCs w:val="19"/>
              </w:rPr>
              <w:t xml:space="preserve">Read-only archive; file read logged</w:t>
            </w:r>
          </w:p>
        </w:tc>
        <w:tc>
          <w:tcPr>
            <w:tcW w:type="dxa" w:w="2766"/>
            <w:tcMar>
              <w:top w:type="dxa" w:w="40"/>
              <w:left w:type="dxa" w:w="90"/>
              <w:bottom w:type="dxa" w:w="40"/>
              <w:right w:type="dxa" w:w="90"/>
            </w:tcMar>
          </w:tcPr>
          <w:p>
            <w:pPr>
              <w:jc w:val="left"/>
            </w:pPr>
            <w:r>
              <w:rPr>
                <w:b w:val="false"/>
                <w:bCs w:val="false"/>
                <w:sz w:val="19"/>
                <w:szCs w:val="19"/>
              </w:rPr>
              <w:t xml:space="preserve">Pass</w:t>
            </w:r>
          </w:p>
        </w:tc>
      </w:tr>
      <w:tr>
        <w:tc>
          <w:tcPr>
            <w:tcW w:type="dxa" w:w="560"/>
            <w:tcMar>
              <w:top w:type="dxa" w:w="40"/>
              <w:left w:type="dxa" w:w="90"/>
              <w:bottom w:type="dxa" w:w="40"/>
              <w:right w:type="dxa" w:w="90"/>
            </w:tcMar>
          </w:tcPr>
          <w:p>
            <w:pPr>
              <w:jc w:val="center"/>
            </w:pPr>
            <w:r>
              <w:rPr>
                <w:b w:val="false"/>
                <w:bCs w:val="false"/>
                <w:sz w:val="19"/>
                <w:szCs w:val="19"/>
              </w:rPr>
              <w:t xml:space="preserve">8</w:t>
            </w:r>
          </w:p>
        </w:tc>
        <w:tc>
          <w:tcPr>
            <w:tcW w:type="dxa" w:w="3020"/>
            <w:tcMar>
              <w:top w:type="dxa" w:w="40"/>
              <w:left w:type="dxa" w:w="90"/>
              <w:bottom w:type="dxa" w:w="40"/>
              <w:right w:type="dxa" w:w="90"/>
            </w:tcMar>
          </w:tcPr>
          <w:p>
            <w:pPr>
              <w:jc w:val="left"/>
            </w:pPr>
            <w:r>
              <w:rPr>
                <w:b w:val="false"/>
                <w:bCs w:val="false"/>
                <w:sz w:val="19"/>
                <w:szCs w:val="19"/>
              </w:rPr>
              <w:t xml:space="preserve">Port scan (nmap -sT)</w:t>
            </w:r>
          </w:p>
        </w:tc>
        <w:tc>
          <w:tcPr>
            <w:tcW w:type="dxa" w:w="2680"/>
            <w:tcMar>
              <w:top w:type="dxa" w:w="40"/>
              <w:left w:type="dxa" w:w="90"/>
              <w:bottom w:type="dxa" w:w="40"/>
              <w:right w:type="dxa" w:w="90"/>
            </w:tcMar>
          </w:tcPr>
          <w:p>
            <w:pPr>
              <w:jc w:val="left"/>
            </w:pPr>
            <w:r>
              <w:rPr>
                <w:b w:val="false"/>
                <w:bCs w:val="false"/>
                <w:sz w:val="19"/>
                <w:szCs w:val="19"/>
              </w:rPr>
              <w:t xml:space="preserve">Recon logged as T1046</w:t>
            </w:r>
          </w:p>
        </w:tc>
        <w:tc>
          <w:tcPr>
            <w:tcW w:type="dxa" w:w="2766"/>
            <w:tcMar>
              <w:top w:type="dxa" w:w="40"/>
              <w:left w:type="dxa" w:w="90"/>
              <w:bottom w:type="dxa" w:w="40"/>
              <w:right w:type="dxa" w:w="90"/>
            </w:tcMar>
          </w:tcPr>
          <w:p>
            <w:pPr>
              <w:jc w:val="left"/>
            </w:pPr>
            <w:r>
              <w:rPr>
                <w:b w:val="false"/>
                <w:bCs w:val="false"/>
                <w:sz w:val="19"/>
                <w:szCs w:val="19"/>
              </w:rPr>
              <w:t xml:space="preserve">Pass</w:t>
            </w:r>
          </w:p>
        </w:tc>
      </w:tr>
      <w:tr>
        <w:tc>
          <w:tcPr>
            <w:tcW w:type="dxa" w:w="560"/>
            <w:tcMar>
              <w:top w:type="dxa" w:w="40"/>
              <w:left w:type="dxa" w:w="90"/>
              <w:bottom w:type="dxa" w:w="40"/>
              <w:right w:type="dxa" w:w="90"/>
            </w:tcMar>
          </w:tcPr>
          <w:p>
            <w:pPr>
              <w:jc w:val="center"/>
            </w:pPr>
            <w:r>
              <w:rPr>
                <w:b w:val="false"/>
                <w:bCs w:val="false"/>
                <w:sz w:val="19"/>
                <w:szCs w:val="19"/>
              </w:rPr>
              <w:t xml:space="preserve">9</w:t>
            </w:r>
          </w:p>
        </w:tc>
        <w:tc>
          <w:tcPr>
            <w:tcW w:type="dxa" w:w="3020"/>
            <w:tcMar>
              <w:top w:type="dxa" w:w="40"/>
              <w:left w:type="dxa" w:w="90"/>
              <w:bottom w:type="dxa" w:w="40"/>
              <w:right w:type="dxa" w:w="90"/>
            </w:tcMar>
          </w:tcPr>
          <w:p>
            <w:pPr>
              <w:jc w:val="left"/>
            </w:pPr>
            <w:r>
              <w:rPr>
                <w:b w:val="false"/>
                <w:bCs w:val="false"/>
                <w:sz w:val="19"/>
                <w:szCs w:val="19"/>
              </w:rPr>
              <w:t xml:space="preserve">Decoy document opened via SFTP</w:t>
            </w:r>
          </w:p>
        </w:tc>
        <w:tc>
          <w:tcPr>
            <w:tcW w:type="dxa" w:w="2680"/>
            <w:tcMar>
              <w:top w:type="dxa" w:w="40"/>
              <w:left w:type="dxa" w:w="90"/>
              <w:bottom w:type="dxa" w:w="40"/>
              <w:right w:type="dxa" w:w="90"/>
            </w:tcMar>
          </w:tcPr>
          <w:p>
            <w:pPr>
              <w:jc w:val="left"/>
            </w:pPr>
            <w:r>
              <w:rPr>
                <w:b w:val="false"/>
                <w:bCs w:val="false"/>
                <w:sz w:val="19"/>
                <w:szCs w:val="19"/>
              </w:rPr>
              <w:t xml:space="preserve">File-read + callback confirmation recorded</w:t>
            </w:r>
          </w:p>
        </w:tc>
        <w:tc>
          <w:tcPr>
            <w:tcW w:type="dxa" w:w="2766"/>
            <w:tcMar>
              <w:top w:type="dxa" w:w="40"/>
              <w:left w:type="dxa" w:w="90"/>
              <w:bottom w:type="dxa" w:w="40"/>
              <w:right w:type="dxa" w:w="90"/>
            </w:tcMar>
          </w:tcPr>
          <w:p>
            <w:pPr>
              <w:jc w:val="left"/>
            </w:pPr>
            <w:r>
              <w:rPr>
                <w:b w:val="false"/>
                <w:bCs w:val="false"/>
                <w:sz w:val="19"/>
                <w:szCs w:val="19"/>
              </w:rPr>
              <w:t xml:space="preserve">Pass</w:t>
            </w:r>
          </w:p>
        </w:tc>
      </w:tr>
      <w:tr>
        <w:tc>
          <w:tcPr>
            <w:tcW w:type="dxa" w:w="560"/>
            <w:tcMar>
              <w:top w:type="dxa" w:w="40"/>
              <w:left w:type="dxa" w:w="90"/>
              <w:bottom w:type="dxa" w:w="40"/>
              <w:right w:type="dxa" w:w="90"/>
            </w:tcMar>
          </w:tcPr>
          <w:p>
            <w:pPr>
              <w:jc w:val="center"/>
            </w:pPr>
            <w:r>
              <w:rPr>
                <w:b w:val="false"/>
                <w:bCs w:val="false"/>
                <w:sz w:val="19"/>
                <w:szCs w:val="19"/>
              </w:rPr>
              <w:t xml:space="preserve">10</w:t>
            </w:r>
          </w:p>
        </w:tc>
        <w:tc>
          <w:tcPr>
            <w:tcW w:type="dxa" w:w="3020"/>
            <w:tcMar>
              <w:top w:type="dxa" w:w="40"/>
              <w:left w:type="dxa" w:w="90"/>
              <w:bottom w:type="dxa" w:w="40"/>
              <w:right w:type="dxa" w:w="90"/>
            </w:tcMar>
          </w:tcPr>
          <w:p>
            <w:pPr>
              <w:jc w:val="left"/>
            </w:pPr>
            <w:r>
              <w:rPr>
                <w:b w:val="false"/>
                <w:bCs w:val="false"/>
                <w:sz w:val="19"/>
                <w:szCs w:val="19"/>
              </w:rPr>
              <w:t xml:space="preserve">Risk score reaches 75</w:t>
            </w:r>
          </w:p>
        </w:tc>
        <w:tc>
          <w:tcPr>
            <w:tcW w:type="dxa" w:w="2680"/>
            <w:tcMar>
              <w:top w:type="dxa" w:w="40"/>
              <w:left w:type="dxa" w:w="90"/>
              <w:bottom w:type="dxa" w:w="40"/>
              <w:right w:type="dxa" w:w="90"/>
            </w:tcMar>
          </w:tcPr>
          <w:p>
            <w:pPr>
              <w:jc w:val="left"/>
            </w:pPr>
            <w:r>
              <w:rPr>
                <w:b w:val="false"/>
                <w:bCs w:val="false"/>
                <w:sz w:val="19"/>
                <w:szCs w:val="19"/>
              </w:rPr>
              <w:t xml:space="preserve">Attacker auto-quarantined on sensors</w:t>
            </w:r>
          </w:p>
        </w:tc>
        <w:tc>
          <w:tcPr>
            <w:tcW w:type="dxa" w:w="2766"/>
            <w:tcMar>
              <w:top w:type="dxa" w:w="40"/>
              <w:left w:type="dxa" w:w="90"/>
              <w:bottom w:type="dxa" w:w="40"/>
              <w:right w:type="dxa" w:w="90"/>
            </w:tcMar>
          </w:tcPr>
          <w:p>
            <w:pPr>
              <w:jc w:val="left"/>
            </w:pPr>
            <w:r>
              <w:rPr>
                <w:b w:val="false"/>
                <w:bCs w:val="false"/>
                <w:sz w:val="19"/>
                <w:szCs w:val="19"/>
              </w:rPr>
              <w:t xml:space="preserve">Pass</w:t>
            </w:r>
          </w:p>
        </w:tc>
      </w:tr>
      <w:tr>
        <w:tc>
          <w:tcPr>
            <w:tcW w:type="dxa" w:w="560"/>
            <w:tcMar>
              <w:top w:type="dxa" w:w="40"/>
              <w:left w:type="dxa" w:w="90"/>
              <w:bottom w:type="dxa" w:w="40"/>
              <w:right w:type="dxa" w:w="90"/>
            </w:tcMar>
          </w:tcPr>
          <w:p>
            <w:pPr>
              <w:jc w:val="center"/>
            </w:pPr>
            <w:r>
              <w:rPr>
                <w:b w:val="false"/>
                <w:bCs w:val="false"/>
                <w:sz w:val="19"/>
                <w:szCs w:val="19"/>
              </w:rPr>
              <w:t xml:space="preserve">11</w:t>
            </w:r>
          </w:p>
        </w:tc>
        <w:tc>
          <w:tcPr>
            <w:tcW w:type="dxa" w:w="3020"/>
            <w:tcMar>
              <w:top w:type="dxa" w:w="40"/>
              <w:left w:type="dxa" w:w="90"/>
              <w:bottom w:type="dxa" w:w="40"/>
              <w:right w:type="dxa" w:w="90"/>
            </w:tcMar>
          </w:tcPr>
          <w:p>
            <w:pPr>
              <w:jc w:val="left"/>
            </w:pPr>
            <w:r>
              <w:rPr>
                <w:b w:val="false"/>
                <w:bCs w:val="false"/>
                <w:sz w:val="19"/>
                <w:szCs w:val="19"/>
              </w:rPr>
              <w:t xml:space="preserve">Phishing .eml analysis</w:t>
            </w:r>
          </w:p>
        </w:tc>
        <w:tc>
          <w:tcPr>
            <w:tcW w:type="dxa" w:w="2680"/>
            <w:tcMar>
              <w:top w:type="dxa" w:w="40"/>
              <w:left w:type="dxa" w:w="90"/>
              <w:bottom w:type="dxa" w:w="40"/>
              <w:right w:type="dxa" w:w="90"/>
            </w:tcMar>
          </w:tcPr>
          <w:p>
            <w:pPr>
              <w:jc w:val="left"/>
            </w:pPr>
            <w:r>
              <w:rPr>
                <w:b w:val="false"/>
                <w:bCs w:val="false"/>
                <w:sz w:val="19"/>
                <w:szCs w:val="19"/>
              </w:rPr>
              <w:t xml:space="preserve">Headers parsed, phishing verdict + score</w:t>
            </w:r>
          </w:p>
        </w:tc>
        <w:tc>
          <w:tcPr>
            <w:tcW w:type="dxa" w:w="2766"/>
            <w:tcMar>
              <w:top w:type="dxa" w:w="40"/>
              <w:left w:type="dxa" w:w="90"/>
              <w:bottom w:type="dxa" w:w="40"/>
              <w:right w:type="dxa" w:w="90"/>
            </w:tcMar>
          </w:tcPr>
          <w:p>
            <w:pPr>
              <w:jc w:val="left"/>
            </w:pPr>
            <w:r>
              <w:rPr>
                <w:b w:val="false"/>
                <w:bCs w:val="false"/>
                <w:sz w:val="19"/>
                <w:szCs w:val="19"/>
              </w:rPr>
              <w:t xml:space="preserve">Pass</w:t>
            </w:r>
          </w:p>
        </w:tc>
      </w:tr>
      <w:tr>
        <w:tc>
          <w:tcPr>
            <w:tcW w:type="dxa" w:w="560"/>
            <w:tcMar>
              <w:top w:type="dxa" w:w="40"/>
              <w:left w:type="dxa" w:w="90"/>
              <w:bottom w:type="dxa" w:w="40"/>
              <w:right w:type="dxa" w:w="90"/>
            </w:tcMar>
          </w:tcPr>
          <w:p>
            <w:pPr>
              <w:jc w:val="center"/>
            </w:pPr>
            <w:r>
              <w:rPr>
                <w:b w:val="false"/>
                <w:bCs w:val="false"/>
                <w:sz w:val="19"/>
                <w:szCs w:val="19"/>
              </w:rPr>
              <w:t xml:space="preserve">12</w:t>
            </w:r>
          </w:p>
        </w:tc>
        <w:tc>
          <w:tcPr>
            <w:tcW w:type="dxa" w:w="3020"/>
            <w:tcMar>
              <w:top w:type="dxa" w:w="40"/>
              <w:left w:type="dxa" w:w="90"/>
              <w:bottom w:type="dxa" w:w="40"/>
              <w:right w:type="dxa" w:w="90"/>
            </w:tcMar>
          </w:tcPr>
          <w:p>
            <w:pPr>
              <w:jc w:val="left"/>
            </w:pPr>
            <w:r>
              <w:rPr>
                <w:b w:val="false"/>
                <w:bCs w:val="false"/>
                <w:sz w:val="19"/>
                <w:szCs w:val="19"/>
              </w:rPr>
              <w:t xml:space="preserve">Password strength tool</w:t>
            </w:r>
          </w:p>
        </w:tc>
        <w:tc>
          <w:tcPr>
            <w:tcW w:type="dxa" w:w="2680"/>
            <w:tcMar>
              <w:top w:type="dxa" w:w="40"/>
              <w:left w:type="dxa" w:w="90"/>
              <w:bottom w:type="dxa" w:w="40"/>
              <w:right w:type="dxa" w:w="90"/>
            </w:tcMar>
          </w:tcPr>
          <w:p>
            <w:pPr>
              <w:jc w:val="left"/>
            </w:pPr>
            <w:r>
              <w:rPr>
                <w:b w:val="false"/>
                <w:bCs w:val="false"/>
                <w:sz w:val="19"/>
                <w:szCs w:val="19"/>
              </w:rPr>
              <w:t xml:space="preserve">Entropy, breach-list check, crack-time shown</w:t>
            </w:r>
          </w:p>
        </w:tc>
        <w:tc>
          <w:tcPr>
            <w:tcW w:type="dxa" w:w="2766"/>
            <w:tcMar>
              <w:top w:type="dxa" w:w="40"/>
              <w:left w:type="dxa" w:w="90"/>
              <w:bottom w:type="dxa" w:w="40"/>
              <w:right w:type="dxa" w:w="90"/>
            </w:tcMar>
          </w:tcPr>
          <w:p>
            <w:pPr>
              <w:jc w:val="left"/>
            </w:pPr>
            <w:r>
              <w:rPr>
                <w:b w:val="false"/>
                <w:bCs w:val="false"/>
                <w:sz w:val="19"/>
                <w:szCs w:val="19"/>
              </w:rPr>
              <w:t xml:space="preserve">Pass</w:t>
            </w:r>
          </w:p>
        </w:tc>
      </w:tr>
    </w:tbl>
    <w:p>
      <w:pPr>
        <w:pStyle w:val="Heading2"/>
        <w:spacing w:after="80" w:before="160"/>
      </w:pPr>
      <w:r>
        <w:rPr>
          <w:b/>
          <w:bCs/>
          <w:color w:val="2E4A7A"/>
        </w:rPr>
        <w:t xml:space="preserve">1.5 Test Summary</w:t>
      </w:r>
    </w:p>
    <w:p>
      <w:pPr>
        <w:spacing w:after="120" w:line="288"/>
        <w:jc w:val="both"/>
      </w:pPr>
      <w:r>
        <w:t xml:space="preserve">A total of </w:t>
      </w:r>
      <w:r>
        <w:rPr>
          <w:b/>
          <w:bCs/>
        </w:rPr>
        <w:t xml:space="preserve">12 functional test cases</w:t>
      </w:r>
      <w:r>
        <w:t xml:space="preserve"> were executed across all seven decoy services and the two cyber-toolkit utilities, covering the full attack lifecycle from reconnaissance through credential access, command execution, honeytoken theft and automated containment. </w:t>
      </w:r>
      <w:r>
        <w:rPr>
          <w:b/>
          <w:bCs/>
        </w:rPr>
        <w:t xml:space="preserve">All 12 cases passed</w:t>
      </w:r>
      <w:r>
        <w:t xml:space="preserve"> with the expected MITRE classification and risk score, and each event appeared on the dashboard within one second of the attack.</w:t>
      </w:r>
    </w:p>
    <w:p>
      <w:pPr>
        <w:pStyle w:val="Heading2"/>
        <w:spacing w:after="80" w:before="160"/>
      </w:pPr>
      <w:r>
        <w:rPr>
          <w:b/>
          <w:bCs/>
          <w:color w:val="2E4A7A"/>
        </w:rPr>
        <w:t xml:space="preserve">1.6 Validation</w:t>
      </w:r>
    </w:p>
    <w:p>
      <w:pPr>
        <w:pStyle w:val="ListParagraph"/>
        <w:numPr>
          <w:ilvl w:val="0"/>
          <w:numId w:val="1"/>
        </w:numPr>
        <w:spacing w:after="90" w:line="288"/>
      </w:pPr>
      <w:r>
        <w:rPr>
          <w:b/>
          <w:bCs/>
        </w:rPr>
        <w:t xml:space="preserve">Automated regression:</w:t>
      </w:r>
      <w:r>
        <w:t xml:space="preserve"> all 38 unit tests and the frontend escaping tests pass, and the dependency vulnerability audit (pip-audit) is clean. Tests run on both Windows and Linux via GitHub Actions CI.</w:t>
      </w:r>
    </w:p>
    <w:p>
      <w:pPr>
        <w:pStyle w:val="ListParagraph"/>
        <w:numPr>
          <w:ilvl w:val="0"/>
          <w:numId w:val="1"/>
        </w:numPr>
        <w:spacing w:after="90" w:line="288"/>
      </w:pPr>
      <w:r>
        <w:rPr>
          <w:b/>
          <w:bCs/>
        </w:rPr>
        <w:t xml:space="preserve">Security validation:</w:t>
      </w:r>
      <w:r>
        <w:t xml:space="preserve"> constant-time admin-token comparison, anti-CSRF request header, per-client rate-limiting, loopback-only management access, and redaction of all captured passwords were each verified.</w:t>
      </w:r>
    </w:p>
    <w:p>
      <w:pPr>
        <w:pStyle w:val="ListParagraph"/>
        <w:numPr>
          <w:ilvl w:val="0"/>
          <w:numId w:val="1"/>
        </w:numPr>
        <w:spacing w:after="90" w:line="288"/>
      </w:pPr>
      <w:r>
        <w:rPr>
          <w:b/>
          <w:bCs/>
        </w:rPr>
        <w:t xml:space="preserve">Cross-platform validation:</w:t>
      </w:r>
      <w:r>
        <w:t xml:space="preserve"> attacks launched from both Windows and Linux reached the sensors correctly, and each attacker's OS was identified on the dashboard and the live visualiser.</w:t>
      </w:r>
    </w:p>
    <w:p>
      <w:pPr>
        <w:pStyle w:val="ListParagraph"/>
        <w:numPr>
          <w:ilvl w:val="0"/>
          <w:numId w:val="1"/>
        </w:numPr>
        <w:spacing w:after="90" w:line="288"/>
      </w:pPr>
      <w:r>
        <w:rPr>
          <w:b/>
          <w:bCs/>
        </w:rPr>
        <w:t xml:space="preserve">Threat-scoring validation:</w:t>
      </w:r>
      <w:r>
        <w:t xml:space="preserve"> confirmed that scans, page views and ordinary logins never auto-block, while only genuinely high-risk actions cross the quarantine threshold of 75 — keeping the live demonstration safe and repeatable.</w:t>
      </w:r>
    </w:p>
    <w:p>
      <w:pPr>
        <w:pStyle w:val="Heading1"/>
        <w:spacing w:after="80" w:before="160"/>
      </w:pPr>
      <w:r>
        <w:rPr>
          <w:b/>
          <w:bCs/>
          <w:color w:val="1F3864"/>
        </w:rPr>
        <w:t xml:space="preserve">2. Results and Inference</w:t>
      </w:r>
    </w:p>
    <w:p>
      <w:pPr>
        <w:pStyle w:val="Heading2"/>
        <w:spacing w:after="80" w:before="160"/>
      </w:pPr>
      <w:r>
        <w:rPr>
          <w:b/>
          <w:bCs/>
          <w:color w:val="2E4A7A"/>
        </w:rPr>
        <w:t xml:space="preserve">2.1 Results</w:t>
      </w:r>
    </w:p>
    <w:p>
      <w:pPr>
        <w:spacing w:after="120" w:line="288"/>
        <w:jc w:val="both"/>
      </w:pPr>
      <w:r>
        <w:t xml:space="preserve">All twelve functional test cases passed. Every sensor captured its attack, mapped it to the correct MITRE technique, assigned a risk score, and streamed the event to the dashboard in real time over a WebSocket connection. The live visualiser showed each attack being drawn into the honeypot and absorbed, while the production server remained marked safe. Representative results are summarised below.</w:t>
      </w:r>
    </w:p>
    <w:tbl>
      <w:tblPr>
        <w:tblW w:type="dxa" w:w="9026"/>
        <w:tblBorders>
          <w:top w:val="single" w:color="999999" w:sz="4"/>
          <w:left w:val="single" w:color="999999" w:sz="4"/>
          <w:bottom w:val="single" w:color="999999" w:sz="4"/>
          <w:right w:val="single" w:color="999999" w:sz="4"/>
          <w:insideH w:val="single" w:color="CCCCCC" w:sz="4"/>
          <w:insideV w:val="single" w:color="CCCCCC" w:sz="4"/>
        </w:tblBorders>
      </w:tblPr>
      <w:tblGrid>
        <w:gridCol w:w="2850"/>
        <w:gridCol w:w="2500"/>
        <w:gridCol w:w="1150"/>
        <w:gridCol w:w="2526"/>
      </w:tblGrid>
      <w:tr>
        <w:tc>
          <w:tcPr>
            <w:tcW w:type="dxa" w:w="2850"/>
            <w:shd w:fill="F2F2F2" w:color="auto" w:val="clear"/>
            <w:tcMar>
              <w:top w:type="dxa" w:w="40"/>
              <w:left w:type="dxa" w:w="90"/>
              <w:bottom w:type="dxa" w:w="40"/>
              <w:right w:type="dxa" w:w="90"/>
            </w:tcMar>
          </w:tcPr>
          <w:p>
            <w:pPr>
              <w:jc w:val="center"/>
            </w:pPr>
            <w:r>
              <w:rPr>
                <w:b/>
                <w:bCs/>
                <w:sz w:val="19"/>
                <w:szCs w:val="19"/>
              </w:rPr>
              <w:t xml:space="preserve">Technique (MITRE)</w:t>
            </w:r>
          </w:p>
        </w:tc>
        <w:tc>
          <w:tcPr>
            <w:tcW w:type="dxa" w:w="2500"/>
            <w:shd w:fill="F2F2F2" w:color="auto" w:val="clear"/>
            <w:tcMar>
              <w:top w:type="dxa" w:w="40"/>
              <w:left w:type="dxa" w:w="90"/>
              <w:bottom w:type="dxa" w:w="40"/>
              <w:right w:type="dxa" w:w="90"/>
            </w:tcMar>
          </w:tcPr>
          <w:p>
            <w:pPr>
              <w:jc w:val="center"/>
            </w:pPr>
            <w:r>
              <w:rPr>
                <w:b/>
                <w:bCs/>
                <w:sz w:val="19"/>
                <w:szCs w:val="19"/>
              </w:rPr>
              <w:t xml:space="preserve">Sensor / Port</w:t>
            </w:r>
          </w:p>
        </w:tc>
        <w:tc>
          <w:tcPr>
            <w:tcW w:type="dxa" w:w="1150"/>
            <w:shd w:fill="F2F2F2" w:color="auto" w:val="clear"/>
            <w:tcMar>
              <w:top w:type="dxa" w:w="40"/>
              <w:left w:type="dxa" w:w="90"/>
              <w:bottom w:type="dxa" w:w="40"/>
              <w:right w:type="dxa" w:w="90"/>
            </w:tcMar>
          </w:tcPr>
          <w:p>
            <w:pPr>
              <w:jc w:val="center"/>
            </w:pPr>
            <w:r>
              <w:rPr>
                <w:b/>
                <w:bCs/>
                <w:sz w:val="19"/>
                <w:szCs w:val="19"/>
              </w:rPr>
              <w:t xml:space="preserve">Risk</w:t>
            </w:r>
          </w:p>
        </w:tc>
        <w:tc>
          <w:tcPr>
            <w:tcW w:type="dxa" w:w="2526"/>
            <w:shd w:fill="F2F2F2" w:color="auto" w:val="clear"/>
            <w:tcMar>
              <w:top w:type="dxa" w:w="40"/>
              <w:left w:type="dxa" w:w="90"/>
              <w:bottom w:type="dxa" w:w="40"/>
              <w:right w:type="dxa" w:w="90"/>
            </w:tcMar>
          </w:tcPr>
          <w:p>
            <w:pPr>
              <w:jc w:val="center"/>
            </w:pPr>
            <w:r>
              <w:rPr>
                <w:b/>
                <w:bCs/>
                <w:sz w:val="19"/>
                <w:szCs w:val="19"/>
              </w:rPr>
              <w:t xml:space="preserve">Outcome</w:t>
            </w:r>
          </w:p>
        </w:tc>
      </w:tr>
      <w:tr>
        <w:tc>
          <w:tcPr>
            <w:tcW w:type="dxa" w:w="2850"/>
            <w:tcMar>
              <w:top w:type="dxa" w:w="40"/>
              <w:left w:type="dxa" w:w="90"/>
              <w:bottom w:type="dxa" w:w="40"/>
              <w:right w:type="dxa" w:w="90"/>
            </w:tcMar>
          </w:tcPr>
          <w:p>
            <w:pPr>
              <w:jc w:val="center"/>
            </w:pPr>
            <w:r>
              <w:rPr>
                <w:b w:val="false"/>
                <w:bCs w:val="false"/>
                <w:sz w:val="19"/>
                <w:szCs w:val="19"/>
              </w:rPr>
              <w:t xml:space="preserve">T1046 Network Discovery</w:t>
            </w:r>
          </w:p>
        </w:tc>
        <w:tc>
          <w:tcPr>
            <w:tcW w:type="dxa" w:w="2500"/>
            <w:tcMar>
              <w:top w:type="dxa" w:w="40"/>
              <w:left w:type="dxa" w:w="90"/>
              <w:bottom w:type="dxa" w:w="40"/>
              <w:right w:type="dxa" w:w="90"/>
            </w:tcMar>
          </w:tcPr>
          <w:p>
            <w:pPr>
              <w:jc w:val="left"/>
            </w:pPr>
            <w:r>
              <w:rPr>
                <w:b w:val="false"/>
                <w:bCs w:val="false"/>
                <w:sz w:val="19"/>
                <w:szCs w:val="19"/>
              </w:rPr>
              <w:t xml:space="preserve">Scan / 21,23,3389</w:t>
            </w:r>
          </w:p>
        </w:tc>
        <w:tc>
          <w:tcPr>
            <w:tcW w:type="dxa" w:w="1150"/>
            <w:tcMar>
              <w:top w:type="dxa" w:w="40"/>
              <w:left w:type="dxa" w:w="90"/>
              <w:bottom w:type="dxa" w:w="40"/>
              <w:right w:type="dxa" w:w="90"/>
            </w:tcMar>
          </w:tcPr>
          <w:p>
            <w:pPr>
              <w:jc w:val="left"/>
            </w:pPr>
            <w:r>
              <w:rPr>
                <w:b w:val="false"/>
                <w:bCs w:val="false"/>
                <w:sz w:val="19"/>
                <w:szCs w:val="19"/>
              </w:rPr>
              <w:t xml:space="preserve">40–55</w:t>
            </w:r>
          </w:p>
        </w:tc>
        <w:tc>
          <w:tcPr>
            <w:tcW w:type="dxa" w:w="2526"/>
            <w:tcMar>
              <w:top w:type="dxa" w:w="40"/>
              <w:left w:type="dxa" w:w="90"/>
              <w:bottom w:type="dxa" w:w="40"/>
              <w:right w:type="dxa" w:w="90"/>
            </w:tcMar>
          </w:tcPr>
          <w:p>
            <w:pPr>
              <w:jc w:val="left"/>
            </w:pPr>
            <w:r>
              <w:rPr>
                <w:b w:val="false"/>
                <w:bCs w:val="false"/>
                <w:sz w:val="19"/>
                <w:szCs w:val="19"/>
              </w:rPr>
              <w:t xml:space="preserve">Logged</w:t>
            </w:r>
          </w:p>
        </w:tc>
      </w:tr>
      <w:tr>
        <w:tc>
          <w:tcPr>
            <w:tcW w:type="dxa" w:w="2850"/>
            <w:tcMar>
              <w:top w:type="dxa" w:w="40"/>
              <w:left w:type="dxa" w:w="90"/>
              <w:bottom w:type="dxa" w:w="40"/>
              <w:right w:type="dxa" w:w="90"/>
            </w:tcMar>
          </w:tcPr>
          <w:p>
            <w:pPr>
              <w:jc w:val="center"/>
            </w:pPr>
            <w:r>
              <w:rPr>
                <w:b w:val="false"/>
                <w:bCs w:val="false"/>
                <w:sz w:val="19"/>
                <w:szCs w:val="19"/>
              </w:rPr>
              <w:t xml:space="preserve">T1110 Brute Force</w:t>
            </w:r>
          </w:p>
        </w:tc>
        <w:tc>
          <w:tcPr>
            <w:tcW w:type="dxa" w:w="2500"/>
            <w:tcMar>
              <w:top w:type="dxa" w:w="40"/>
              <w:left w:type="dxa" w:w="90"/>
              <w:bottom w:type="dxa" w:w="40"/>
              <w:right w:type="dxa" w:w="90"/>
            </w:tcMar>
          </w:tcPr>
          <w:p>
            <w:pPr>
              <w:jc w:val="left"/>
            </w:pPr>
            <w:r>
              <w:rPr>
                <w:b w:val="false"/>
                <w:bCs w:val="false"/>
                <w:sz w:val="19"/>
                <w:szCs w:val="19"/>
              </w:rPr>
              <w:t xml:space="preserve">SSH 2222 / Telnet 23</w:t>
            </w:r>
          </w:p>
        </w:tc>
        <w:tc>
          <w:tcPr>
            <w:tcW w:type="dxa" w:w="1150"/>
            <w:tcMar>
              <w:top w:type="dxa" w:w="40"/>
              <w:left w:type="dxa" w:w="90"/>
              <w:bottom w:type="dxa" w:w="40"/>
              <w:right w:type="dxa" w:w="90"/>
            </w:tcMar>
          </w:tcPr>
          <w:p>
            <w:pPr>
              <w:jc w:val="left"/>
            </w:pPr>
            <w:r>
              <w:rPr>
                <w:b w:val="false"/>
                <w:bCs w:val="false"/>
                <w:sz w:val="19"/>
                <w:szCs w:val="19"/>
              </w:rPr>
              <w:t xml:space="preserve">65–74</w:t>
            </w:r>
          </w:p>
        </w:tc>
        <w:tc>
          <w:tcPr>
            <w:tcW w:type="dxa" w:w="2526"/>
            <w:tcMar>
              <w:top w:type="dxa" w:w="40"/>
              <w:left w:type="dxa" w:w="90"/>
              <w:bottom w:type="dxa" w:w="40"/>
              <w:right w:type="dxa" w:w="90"/>
            </w:tcMar>
          </w:tcPr>
          <w:p>
            <w:pPr>
              <w:jc w:val="left"/>
            </w:pPr>
            <w:r>
              <w:rPr>
                <w:b w:val="false"/>
                <w:bCs w:val="false"/>
                <w:sz w:val="19"/>
                <w:szCs w:val="19"/>
              </w:rPr>
              <w:t xml:space="preserve">Logged / Alert</w:t>
            </w:r>
          </w:p>
        </w:tc>
      </w:tr>
      <w:tr>
        <w:tc>
          <w:tcPr>
            <w:tcW w:type="dxa" w:w="2850"/>
            <w:tcMar>
              <w:top w:type="dxa" w:w="40"/>
              <w:left w:type="dxa" w:w="90"/>
              <w:bottom w:type="dxa" w:w="40"/>
              <w:right w:type="dxa" w:w="90"/>
            </w:tcMar>
          </w:tcPr>
          <w:p>
            <w:pPr>
              <w:jc w:val="center"/>
            </w:pPr>
            <w:r>
              <w:rPr>
                <w:b w:val="false"/>
                <w:bCs w:val="false"/>
                <w:sz w:val="19"/>
                <w:szCs w:val="19"/>
              </w:rPr>
              <w:t xml:space="preserve">T1190 Exploit Web App</w:t>
            </w:r>
          </w:p>
        </w:tc>
        <w:tc>
          <w:tcPr>
            <w:tcW w:type="dxa" w:w="2500"/>
            <w:tcMar>
              <w:top w:type="dxa" w:w="40"/>
              <w:left w:type="dxa" w:w="90"/>
              <w:bottom w:type="dxa" w:w="40"/>
              <w:right w:type="dxa" w:w="90"/>
            </w:tcMar>
          </w:tcPr>
          <w:p>
            <w:pPr>
              <w:jc w:val="left"/>
            </w:pPr>
            <w:r>
              <w:rPr>
                <w:b w:val="false"/>
                <w:bCs w:val="false"/>
                <w:sz w:val="19"/>
                <w:szCs w:val="19"/>
              </w:rPr>
              <w:t xml:space="preserve">Web 8080</w:t>
            </w:r>
          </w:p>
        </w:tc>
        <w:tc>
          <w:tcPr>
            <w:tcW w:type="dxa" w:w="1150"/>
            <w:tcMar>
              <w:top w:type="dxa" w:w="40"/>
              <w:left w:type="dxa" w:w="90"/>
              <w:bottom w:type="dxa" w:w="40"/>
              <w:right w:type="dxa" w:w="90"/>
            </w:tcMar>
          </w:tcPr>
          <w:p>
            <w:pPr>
              <w:jc w:val="left"/>
            </w:pPr>
            <w:r>
              <w:rPr>
                <w:b w:val="false"/>
                <w:bCs w:val="false"/>
                <w:sz w:val="19"/>
                <w:szCs w:val="19"/>
              </w:rPr>
              <w:t xml:space="preserve">85</w:t>
            </w:r>
          </w:p>
        </w:tc>
        <w:tc>
          <w:tcPr>
            <w:tcW w:type="dxa" w:w="2526"/>
            <w:tcMar>
              <w:top w:type="dxa" w:w="40"/>
              <w:left w:type="dxa" w:w="90"/>
              <w:bottom w:type="dxa" w:w="40"/>
              <w:right w:type="dxa" w:w="90"/>
            </w:tcMar>
          </w:tcPr>
          <w:p>
            <w:pPr>
              <w:jc w:val="left"/>
            </w:pPr>
            <w:r>
              <w:rPr>
                <w:b w:val="false"/>
                <w:bCs w:val="false"/>
                <w:sz w:val="19"/>
                <w:szCs w:val="19"/>
              </w:rPr>
              <w:t xml:space="preserve">High alert</w:t>
            </w:r>
          </w:p>
        </w:tc>
      </w:tr>
      <w:tr>
        <w:tc>
          <w:tcPr>
            <w:tcW w:type="dxa" w:w="2850"/>
            <w:tcMar>
              <w:top w:type="dxa" w:w="40"/>
              <w:left w:type="dxa" w:w="90"/>
              <w:bottom w:type="dxa" w:w="40"/>
              <w:right w:type="dxa" w:w="90"/>
            </w:tcMar>
          </w:tcPr>
          <w:p>
            <w:pPr>
              <w:jc w:val="center"/>
            </w:pPr>
            <w:r>
              <w:rPr>
                <w:b w:val="false"/>
                <w:bCs w:val="false"/>
                <w:sz w:val="19"/>
                <w:szCs w:val="19"/>
              </w:rPr>
              <w:t xml:space="preserve">T1078 Valid Accounts</w:t>
            </w:r>
          </w:p>
        </w:tc>
        <w:tc>
          <w:tcPr>
            <w:tcW w:type="dxa" w:w="2500"/>
            <w:tcMar>
              <w:top w:type="dxa" w:w="40"/>
              <w:left w:type="dxa" w:w="90"/>
              <w:bottom w:type="dxa" w:w="40"/>
              <w:right w:type="dxa" w:w="90"/>
            </w:tcMar>
          </w:tcPr>
          <w:p>
            <w:pPr>
              <w:jc w:val="left"/>
            </w:pPr>
            <w:r>
              <w:rPr>
                <w:b w:val="false"/>
                <w:bCs w:val="false"/>
                <w:sz w:val="19"/>
                <w:szCs w:val="19"/>
              </w:rPr>
              <w:t xml:space="preserve">Honeytoken</w:t>
            </w:r>
          </w:p>
        </w:tc>
        <w:tc>
          <w:tcPr>
            <w:tcW w:type="dxa" w:w="1150"/>
            <w:tcMar>
              <w:top w:type="dxa" w:w="40"/>
              <w:left w:type="dxa" w:w="90"/>
              <w:bottom w:type="dxa" w:w="40"/>
              <w:right w:type="dxa" w:w="90"/>
            </w:tcMar>
          </w:tcPr>
          <w:p>
            <w:pPr>
              <w:jc w:val="left"/>
            </w:pPr>
            <w:r>
              <w:rPr>
                <w:b w:val="false"/>
                <w:bCs w:val="false"/>
                <w:sz w:val="19"/>
                <w:szCs w:val="19"/>
              </w:rPr>
              <w:t xml:space="preserve">95</w:t>
            </w:r>
          </w:p>
        </w:tc>
        <w:tc>
          <w:tcPr>
            <w:tcW w:type="dxa" w:w="2526"/>
            <w:tcMar>
              <w:top w:type="dxa" w:w="40"/>
              <w:left w:type="dxa" w:w="90"/>
              <w:bottom w:type="dxa" w:w="40"/>
              <w:right w:type="dxa" w:w="90"/>
            </w:tcMar>
          </w:tcPr>
          <w:p>
            <w:pPr>
              <w:jc w:val="left"/>
            </w:pPr>
            <w:r>
              <w:rPr>
                <w:b w:val="false"/>
                <w:bCs w:val="false"/>
                <w:sz w:val="19"/>
                <w:szCs w:val="19"/>
              </w:rPr>
              <w:t xml:space="preserve">Instant alert</w:t>
            </w:r>
          </w:p>
        </w:tc>
      </w:tr>
      <w:tr>
        <w:tc>
          <w:tcPr>
            <w:tcW w:type="dxa" w:w="2850"/>
            <w:tcMar>
              <w:top w:type="dxa" w:w="40"/>
              <w:left w:type="dxa" w:w="90"/>
              <w:bottom w:type="dxa" w:w="40"/>
              <w:right w:type="dxa" w:w="90"/>
            </w:tcMar>
          </w:tcPr>
          <w:p>
            <w:pPr>
              <w:jc w:val="center"/>
            </w:pPr>
            <w:r>
              <w:rPr>
                <w:b w:val="false"/>
                <w:bCs w:val="false"/>
                <w:sz w:val="19"/>
                <w:szCs w:val="19"/>
              </w:rPr>
              <w:t xml:space="preserve">T1059 Command Execution</w:t>
            </w:r>
          </w:p>
        </w:tc>
        <w:tc>
          <w:tcPr>
            <w:tcW w:type="dxa" w:w="2500"/>
            <w:tcMar>
              <w:top w:type="dxa" w:w="40"/>
              <w:left w:type="dxa" w:w="90"/>
              <w:bottom w:type="dxa" w:w="40"/>
              <w:right w:type="dxa" w:w="90"/>
            </w:tcMar>
          </w:tcPr>
          <w:p>
            <w:pPr>
              <w:jc w:val="left"/>
            </w:pPr>
            <w:r>
              <w:rPr>
                <w:b w:val="false"/>
                <w:bCs w:val="false"/>
                <w:sz w:val="19"/>
                <w:szCs w:val="19"/>
              </w:rPr>
              <w:t xml:space="preserve">SSH 2222</w:t>
            </w:r>
          </w:p>
        </w:tc>
        <w:tc>
          <w:tcPr>
            <w:tcW w:type="dxa" w:w="1150"/>
            <w:tcMar>
              <w:top w:type="dxa" w:w="40"/>
              <w:left w:type="dxa" w:w="90"/>
              <w:bottom w:type="dxa" w:w="40"/>
              <w:right w:type="dxa" w:w="90"/>
            </w:tcMar>
          </w:tcPr>
          <w:p>
            <w:pPr>
              <w:jc w:val="left"/>
            </w:pPr>
            <w:r>
              <w:rPr>
                <w:b w:val="false"/>
                <w:bCs w:val="false"/>
                <w:sz w:val="19"/>
                <w:szCs w:val="19"/>
              </w:rPr>
              <w:t xml:space="preserve">100</w:t>
            </w:r>
          </w:p>
        </w:tc>
        <w:tc>
          <w:tcPr>
            <w:tcW w:type="dxa" w:w="2526"/>
            <w:tcMar>
              <w:top w:type="dxa" w:w="40"/>
              <w:left w:type="dxa" w:w="90"/>
              <w:bottom w:type="dxa" w:w="40"/>
              <w:right w:type="dxa" w:w="90"/>
            </w:tcMar>
          </w:tcPr>
          <w:p>
            <w:pPr>
              <w:jc w:val="left"/>
            </w:pPr>
            <w:r>
              <w:rPr>
                <w:b w:val="false"/>
                <w:bCs w:val="false"/>
                <w:sz w:val="19"/>
                <w:szCs w:val="19"/>
              </w:rPr>
              <w:t xml:space="preserve">Quarantined</w:t>
            </w:r>
          </w:p>
        </w:tc>
      </w:tr>
    </w:tbl>
    <w:p>
      <w:pPr>
        <w:spacing w:after="120" w:line="288"/>
        <w:jc w:val="both"/>
      </w:pPr>
      <w:r>
        <w:t xml:space="preserve">In addition to the live feed, every event was written to a persistent SQLite database and an append-only CSV audit log, and the dashboard metric tiles (total attacks, unique attackers, quarantined IPs) and the MITRE and severity charts updated correctly as attacks arrived.</w:t>
      </w:r>
    </w:p>
    <w:p>
      <w:pPr>
        <w:spacing w:after="120" w:line="288"/>
        <w:jc w:val="both"/>
      </w:pPr>
      <w:r>
        <w:t xml:space="preserve">The AI SOC copilot was also validated: it answered live analyst questions — top attackers, a per-IP forensic profile, and a critical-events summary — directly from the telemetry database, and worked fully offline during the demonstration with no internet connection required.</w:t>
      </w:r>
    </w:p>
    <w:p>
      <w:pPr>
        <w:pStyle w:val="Heading2"/>
        <w:spacing w:after="80" w:before="160"/>
      </w:pPr>
      <w:r>
        <w:rPr>
          <w:b/>
          <w:bCs/>
          <w:color w:val="2E4A7A"/>
        </w:rPr>
        <w:t xml:space="preserve">2.2 Inference</w:t>
      </w:r>
    </w:p>
    <w:p>
      <w:pPr>
        <w:pStyle w:val="ListParagraph"/>
        <w:numPr>
          <w:ilvl w:val="0"/>
          <w:numId w:val="1"/>
        </w:numPr>
        <w:spacing w:after="90" w:line="288"/>
      </w:pPr>
      <w:r>
        <w:t xml:space="preserve">KARMA successfully </w:t>
      </w:r>
      <w:r>
        <w:rPr>
          <w:b/>
          <w:bCs/>
        </w:rPr>
        <w:t xml:space="preserve">diverts and records</w:t>
      </w:r>
      <w:r>
        <w:t xml:space="preserve"> attacks on decoy services while the production server remains untouched, proving that the active-deception model works in practice.</w:t>
      </w:r>
    </w:p>
    <w:p>
      <w:pPr>
        <w:pStyle w:val="ListParagraph"/>
        <w:numPr>
          <w:ilvl w:val="0"/>
          <w:numId w:val="1"/>
        </w:numPr>
        <w:spacing w:after="90" w:line="288"/>
      </w:pPr>
      <w:r>
        <w:t xml:space="preserve">Because classification and scoring use </w:t>
      </w:r>
      <w:r>
        <w:rPr>
          <w:b/>
          <w:bCs/>
        </w:rPr>
        <w:t xml:space="preserve">deterministic heuristics</w:t>
      </w:r>
      <w:r>
        <w:t xml:space="preserve"> rather than a black box, every verdict is explainable and reproducible — important for a security tool that must be trusted.</w:t>
      </w:r>
    </w:p>
    <w:p>
      <w:pPr>
        <w:pStyle w:val="ListParagraph"/>
        <w:numPr>
          <w:ilvl w:val="0"/>
          <w:numId w:val="1"/>
        </w:numPr>
        <w:spacing w:after="90" w:line="288"/>
      </w:pPr>
      <w:r>
        <w:t xml:space="preserve">The layered flow of </w:t>
      </w:r>
      <w:r>
        <w:rPr>
          <w:b/>
          <w:bCs/>
        </w:rPr>
        <w:t xml:space="preserve">recon → break-in → execution → containment</w:t>
      </w:r>
      <w:r>
        <w:t xml:space="preserve"> mirrors a real SOC kill-chain, giving the platform genuine defensive and educational value.</w:t>
      </w:r>
    </w:p>
    <w:p>
      <w:pPr>
        <w:pStyle w:val="ListParagraph"/>
        <w:numPr>
          <w:ilvl w:val="0"/>
          <w:numId w:val="1"/>
        </w:numPr>
        <w:spacing w:after="90" w:line="288"/>
      </w:pPr>
      <w:r>
        <w:rPr>
          <w:b/>
          <w:bCs/>
        </w:rPr>
        <w:t xml:space="preserve">Limitations observed:</w:t>
      </w:r>
      <w:r>
        <w:t xml:space="preserve"> the system is single-host and LAN-scoped, the location shown is a configured lab marker (not a measured attacker origin), and the RDP decoy records the connection attempt rather than emulating a full remote-desktop session.</w:t>
      </w:r>
    </w:p>
    <w:p>
      <w:pPr>
        <w:pStyle w:val="ListParagraph"/>
        <w:numPr>
          <w:ilvl w:val="0"/>
          <w:numId w:val="1"/>
        </w:numPr>
        <w:spacing w:after="90" w:line="288"/>
      </w:pPr>
      <w:r>
        <w:rPr>
          <w:b/>
          <w:bCs/>
        </w:rPr>
        <w:t xml:space="preserve">Future scope:</w:t>
      </w:r>
      <w:r>
        <w:t xml:space="preserve"> extend to multi-host and cloud deployment, add a real geolocation provider, and integrate a live external threat-intelligence feed.</w:t>
      </w:r>
    </w:p>
    <w:p>
      <w:pPr>
        <w:pStyle w:val="Heading2"/>
        <w:spacing w:after="80" w:before="160"/>
      </w:pPr>
      <w:r>
        <w:rPr>
          <w:b/>
          <w:bCs/>
          <w:color w:val="2E4A7A"/>
        </w:rPr>
        <w:t xml:space="preserve">2.3 Overall Outcome</w:t>
      </w:r>
    </w:p>
    <w:p>
      <w:pPr>
        <w:spacing w:after="120" w:line="288"/>
        <w:jc w:val="both"/>
      </w:pPr>
      <w:r>
        <w:t xml:space="preserve">The testing phase confirmed that KARMA behaves as designed under real multi-machine, multi-OS attack conditions. The deception layer reliably absorbed every attack, the classification and scoring engine produced consistent and explainable results, and the automated containment acted only when it should. No attack reached or affected the protected production server at any point during testing.</w:t>
      </w:r>
    </w:p>
    <w:p>
      <w:pPr>
        <w:spacing w:after="120" w:line="288"/>
        <w:jc w:val="both"/>
      </w:pPr>
      <w:r>
        <w:rPr>
          <w:b/>
          <w:bCs/>
        </w:rPr>
        <w:t xml:space="preserve">Conclusion:</w:t>
      </w:r>
      <w:r>
        <w:t xml:space="preserve"> All CIE-III objectives were met. KARMA is functionally complete, security-hardened, cross-platform and demonstration-ready, with a clear and practical path for future enhancement.</w:t>
      </w:r>
    </w:p>
    <w:sectPr>
      <w:pgSz w:w="11906" w:h="16838" w:orient="portrait"/>
      <w:pgMar w:top="1134" w:right="1134" w:bottom="1021"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Team KARMA</dc:creator>
  <cp:lastModifiedBy>Un-named</cp:lastModifiedBy>
  <cp:revision>1</cp:revision>
  <dcterms:created xsi:type="dcterms:W3CDTF">2026-10-13T15:51:27.133Z</dcterms:created>
  <dcterms:modified xsi:type="dcterms:W3CDTF">2026-10-13T15:51:27.133Z</dcterms:modified>
</cp:coreProperties>
</file>

<file path=docProps/custom.xml><?xml version="1.0" encoding="utf-8"?>
<Properties xmlns="http://schemas.openxmlformats.org/officeDocument/2006/custom-properties" xmlns:vt="http://schemas.openxmlformats.org/officeDocument/2006/docPropsVTypes"/>
</file>