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ProcessGenius AI — Product Roadmap</w:t>
      </w:r>
    </w:p>
    <w:p>
      <w:pPr>
        <w:spacing w:after="180"/>
      </w:pPr>
      <w:r>
        <w:rPr>
          <w:i/>
          <w:iCs/>
          <w:color w:val="595959"/>
          <w:sz w:val="16"/>
          <w:szCs w:val="16"/>
        </w:rPr>
        <w:t xml:space="preserve">Axiom Solutions | From 4-Month Compliance Pilot to Multi-Vertical AI Compliance Platform | Owner: Product Management</w:t>
      </w:r>
    </w:p>
    <w:p>
      <w:pPr>
        <w:spacing w:after="100"/>
        <w:jc w:val="center"/>
      </w:pPr>
      <w:r>
        <w:drawing>
          <wp:inline distT="0" distB="0" distL="0" distR="0">
            <wp:extent cx="6477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4B5" w:sz="6" w:space="3"/>
        </w:pBdr>
        <w:spacing w:after="100" w:before="260"/>
      </w:pPr>
      <w:r>
        <w:rPr>
          <w:b/>
          <w:bCs/>
          <w:caps/>
          <w:color w:val="1F3864"/>
          <w:sz w:val="21"/>
          <w:szCs w:val="21"/>
        </w:rPr>
        <w:t xml:space="preserve">Roadmap Narrative</w:t>
      </w:r>
    </w:p>
    <w:p>
      <w:pPr>
        <w:spacing w:after="60"/>
      </w:pPr>
      <w:r>
        <w:rPr>
          <w:color w:val="262626"/>
          <w:sz w:val="16"/>
          <w:szCs w:val="16"/>
        </w:rPr>
        <w:t xml:space="preserve">The roadmap sequences from a tightly-scoped, guardrail-first pilot in finance to a multi-vertical AI compliance platform. Each phase gate is deliberately conservative: we do not expand scope, client volume, or automation level until accuracy and detection guardrails are proven at the current stage. The Phase 5 expansion intentionally pairs a new industry (pharma) with a new domain (HCM/People compliance — labor law and HR policy documentation), reusing the same human-in-the-loop architecture validated in the pilot rather than building a parallel stack.</w:t>
      </w:r>
    </w:p>
    <w:p>
      <w:pPr>
        <w:pBdr>
          <w:bottom w:val="single" w:color="2E74B5" w:sz="6" w:space="3"/>
        </w:pBdr>
        <w:spacing w:after="100" w:before="260"/>
      </w:pPr>
      <w:r>
        <w:rPr>
          <w:b/>
          <w:bCs/>
          <w:caps/>
          <w:color w:val="1F3864"/>
          <w:sz w:val="21"/>
          <w:szCs w:val="21"/>
        </w:rPr>
        <w:t xml:space="preserve">12-Month Phase Plan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4700"/>
        <w:gridCol w:w="27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Timeframe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Objectives &amp; Key Deliverables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Exit / Success Gate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Phase 0 — Foundation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&amp; Setup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Pre-Pilot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(Wk -4–0)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Stand up guardrail framework (SME review workflow, confidence thresholds); assemble regulatory corpus for 3 finance clients; select pilot cohort; baseline current KPIs.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Guardrails, tooling, and baselines signed off by Compliance &amp; pilot clients.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Phase 1 — Draft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Generation &amp; Time Study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Month 1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Run BA-only vs. BA+AI draft A/B test; SME-score outputs against regulatory checklist; capture drafting time baseline.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≥90% draft accuracy vs. source regulation; time-to-document data captured.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Phase 2 — Shadow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Detection &amp; Adoption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Months 2–3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Run regulatory-change detection in shadow mode alongside manual monitoring; track BA/client override &amp; trust via telemetry and interviews.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≥95% change-detection recall; override-rate and adoption signal collected.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Phase 3 — Business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Impact &amp; Go/No-Go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Month 4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Compare pilot vs. matched non-pilot clients on audit prep time &amp; documentation accuracy; run client retainer-intent survey; executive readout.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Go/No-Go decision: guardrail metrics met AND ≥2 of 3 clients signal willingness to pay.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Phase 4 — Controlled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Scale (Finance)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Months 5–7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Expand to 5–8 additional finance clients; introduce confidence-tiered automation; launch client-facing audit-trail dashboard; formalize "AI Compliance Maintenance" retainer.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Retainer live with paying clients; accuracy/recall guardrails hold at scale.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Phase 5 — Cross-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Industry Expansion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Months 8–10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Extend to pharma vertical (FDA/GxP context); begin HCM/People-Compliance use case — labor law &amp; HR policy documentation — leveraging same guardrail architecture.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Domain-tuned accuracy validated in ≥1 new vertical; HCM pilot scoped with design partner.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Phase 6 — Platform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5"/>
                <w:szCs w:val="15"/>
              </w:rPr>
              <w:t xml:space="preserve">&amp; Ecosystem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Months 11–12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Self-serve client portal; API/GRC-system integrations; continuous regulatory-monitoring subscription tier; platform-wide analytics.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5"/>
                <w:szCs w:val="15"/>
              </w:rPr>
              <w:t xml:space="preserve">General availability; recurring-revenue subscription model operating.</w:t>
            </w:r>
          </w:p>
        </w:tc>
      </w:tr>
    </w:tbl>
    <w:p>
      <w:pPr>
        <w:spacing w:before="160"/>
      </w:pPr>
      <w:r>
        <w:rPr>
          <w:b/>
          <w:bCs/>
          <w:color w:val="1F3864"/>
          <w:sz w:val="15"/>
          <w:szCs w:val="15"/>
        </w:rPr>
        <w:t xml:space="preserve">Two hard gates govern pace: the Month 4 Go/No-Go (pilot proves guardrail + business value) and the Month 7 Scale Decision (guardrails hold under multi-client load). No phase after either gate begins without a passed review.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34a73550d1faf87ce4bdf4d176aee453d5356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2026-08-01T07:42:08.734Z</dcterms:created>
  <dcterms:modified xsi:type="dcterms:W3CDTF">2026-08-01T07:42:08.734Z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