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3D"/>
          <w:sz w:val="56"/>
          <w:szCs w:val="56"/>
        </w:rPr>
        <w:t xml:space="preserve">ProcessGenius AI</w:t>
      </w:r>
    </w:p>
    <w:p>
      <w:pPr>
        <w:spacing w:after="80"/>
      </w:pPr>
      <w:r>
        <w:rPr>
          <w:rFonts w:ascii="Arial" w:cs="Arial" w:eastAsia="Arial" w:hAnsi="Arial"/>
          <w:color w:val="0E6B54"/>
          <w:sz w:val="30"/>
          <w:szCs w:val="30"/>
        </w:rPr>
        <w:t xml:space="preserve">RAG Pipeline — Technical Documentation</w:t>
      </w:r>
    </w:p>
    <w:p>
      <w:pPr>
        <w:spacing w:after="400"/>
      </w:pPr>
      <w:r>
        <w:rPr>
          <w:rFonts w:ascii="Arial" w:cs="Arial" w:eastAsia="Arial" w:hAnsi="Arial"/>
          <w:i/>
          <w:iCs/>
          <w:color w:val="666666"/>
          <w:sz w:val="20"/>
          <w:szCs w:val="20"/>
        </w:rPr>
        <w:t xml:space="preserve">Built in Langflow · Astra DB · OpenAI Embeddings · COSTAR-S Prompting</w:t>
      </w:r>
    </w:p>
    <w:p>
      <w:pPr>
        <w:pStyle w:val="Heading2"/>
        <w:spacing w:after="120" w:before="28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3293D"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500"/>
            <w:shd w:fill="13293D"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000"/>
            <w:tcMar>
              <w:top w:type="dxa" w:w="100"/>
              <w:left w:type="dxa" w:w="120"/>
              <w:bottom w:type="dxa" w:w="100"/>
              <w:right w:type="dxa" w:w="120"/>
            </w:tcMar>
          </w:tcPr>
          <w:p>
            <w:r>
              <w:rPr>
                <w:rFonts w:ascii="Arial" w:cs="Arial" w:eastAsia="Arial" w:hAnsi="Arial"/>
                <w:b w:val="false"/>
                <w:bCs w:val="false"/>
                <w:color w:val="222222"/>
                <w:sz w:val="20"/>
                <w:szCs w:val="20"/>
              </w:rPr>
              <w:t xml:space="preserve">System name</w:t>
            </w:r>
          </w:p>
        </w:tc>
        <w:tc>
          <w:tcPr>
            <w:tcW w:type="dxa" w:w="6500"/>
            <w:tcMar>
              <w:top w:type="dxa" w:w="100"/>
              <w:left w:type="dxa" w:w="120"/>
              <w:bottom w:type="dxa" w:w="100"/>
              <w:right w:type="dxa" w:w="120"/>
            </w:tcMar>
          </w:tcPr>
          <w:p>
            <w:r>
              <w:rPr>
                <w:rFonts w:ascii="Arial" w:cs="Arial" w:eastAsia="Arial" w:hAnsi="Arial"/>
                <w:b w:val="false"/>
                <w:bCs w:val="false"/>
                <w:color w:val="222222"/>
                <w:sz w:val="20"/>
                <w:szCs w:val="20"/>
              </w:rPr>
              <w:t xml:space="preserve">ProcessGenius AI — Audit &amp; Compliance Retrieval Assistant</w:t>
            </w:r>
          </w:p>
        </w:tc>
      </w:tr>
      <w:tr>
        <w:tc>
          <w:tcPr>
            <w:tcW w:type="dxa" w:w="30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Platform</w:t>
            </w:r>
          </w:p>
        </w:tc>
        <w:tc>
          <w:tcPr>
            <w:tcW w:type="dxa" w:w="6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Langflow (visual RAG orchestration)</w:t>
            </w:r>
          </w:p>
        </w:tc>
      </w:tr>
      <w:tr>
        <w:tc>
          <w:tcPr>
            <w:tcW w:type="dxa" w:w="3000"/>
            <w:tcMar>
              <w:top w:type="dxa" w:w="100"/>
              <w:left w:type="dxa" w:w="120"/>
              <w:bottom w:type="dxa" w:w="100"/>
              <w:right w:type="dxa" w:w="120"/>
            </w:tcMar>
          </w:tcPr>
          <w:p>
            <w:r>
              <w:rPr>
                <w:rFonts w:ascii="Arial" w:cs="Arial" w:eastAsia="Arial" w:hAnsi="Arial"/>
                <w:b w:val="false"/>
                <w:bCs w:val="false"/>
                <w:color w:val="222222"/>
                <w:sz w:val="20"/>
                <w:szCs w:val="20"/>
              </w:rPr>
              <w:t xml:space="preserve">Vector store</w:t>
            </w:r>
          </w:p>
        </w:tc>
        <w:tc>
          <w:tcPr>
            <w:tcW w:type="dxa" w:w="6500"/>
            <w:tcMar>
              <w:top w:type="dxa" w:w="100"/>
              <w:left w:type="dxa" w:w="120"/>
              <w:bottom w:type="dxa" w:w="100"/>
              <w:right w:type="dxa" w:w="120"/>
            </w:tcMar>
          </w:tcPr>
          <w:p>
            <w:r>
              <w:rPr>
                <w:rFonts w:ascii="Arial" w:cs="Arial" w:eastAsia="Arial" w:hAnsi="Arial"/>
                <w:b w:val="false"/>
                <w:bCs w:val="false"/>
                <w:color w:val="222222"/>
                <w:sz w:val="20"/>
                <w:szCs w:val="20"/>
              </w:rPr>
              <w:t xml:space="preserve">Astra DB (DataStax)</w:t>
            </w:r>
          </w:p>
        </w:tc>
      </w:tr>
      <w:tr>
        <w:tc>
          <w:tcPr>
            <w:tcW w:type="dxa" w:w="30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Embedding model</w:t>
            </w:r>
          </w:p>
        </w:tc>
        <w:tc>
          <w:tcPr>
            <w:tcW w:type="dxa" w:w="6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OpenAI text-embedding-ada-002 (1536 dimensions)</w:t>
            </w:r>
          </w:p>
        </w:tc>
      </w:tr>
      <w:tr>
        <w:tc>
          <w:tcPr>
            <w:tcW w:type="dxa" w:w="3000"/>
            <w:tcMar>
              <w:top w:type="dxa" w:w="100"/>
              <w:left w:type="dxa" w:w="120"/>
              <w:bottom w:type="dxa" w:w="100"/>
              <w:right w:type="dxa" w:w="120"/>
            </w:tcMar>
          </w:tcPr>
          <w:p>
            <w:r>
              <w:rPr>
                <w:rFonts w:ascii="Arial" w:cs="Arial" w:eastAsia="Arial" w:hAnsi="Arial"/>
                <w:b w:val="false"/>
                <w:bCs w:val="false"/>
                <w:color w:val="222222"/>
                <w:sz w:val="20"/>
                <w:szCs w:val="20"/>
              </w:rPr>
              <w:t xml:space="preserve">Prompt framework</w:t>
            </w:r>
          </w:p>
        </w:tc>
        <w:tc>
          <w:tcPr>
            <w:tcW w:type="dxa" w:w="6500"/>
            <w:tcMar>
              <w:top w:type="dxa" w:w="100"/>
              <w:left w:type="dxa" w:w="120"/>
              <w:bottom w:type="dxa" w:w="100"/>
              <w:right w:type="dxa" w:w="120"/>
            </w:tcMar>
          </w:tcPr>
          <w:p>
            <w:r>
              <w:rPr>
                <w:rFonts w:ascii="Arial" w:cs="Arial" w:eastAsia="Arial" w:hAnsi="Arial"/>
                <w:b w:val="false"/>
                <w:bCs w:val="false"/>
                <w:color w:val="222222"/>
                <w:sz w:val="20"/>
                <w:szCs w:val="20"/>
              </w:rPr>
              <w:t xml:space="preserve">COSTAR-S</w:t>
            </w:r>
          </w:p>
        </w:tc>
      </w:tr>
      <w:tr>
        <w:tc>
          <w:tcPr>
            <w:tcW w:type="dxa" w:w="30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Target persona</w:t>
            </w:r>
          </w:p>
        </w:tc>
        <w:tc>
          <w:tcPr>
            <w:tcW w:type="dxa" w:w="6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Compliance &amp; Audit Manager</w:t>
            </w:r>
          </w:p>
        </w:tc>
      </w:tr>
      <w:tr>
        <w:tc>
          <w:tcPr>
            <w:tcW w:type="dxa" w:w="3000"/>
            <w:tcMar>
              <w:top w:type="dxa" w:w="100"/>
              <w:left w:type="dxa" w:w="120"/>
              <w:bottom w:type="dxa" w:w="100"/>
              <w:right w:type="dxa" w:w="120"/>
            </w:tcMar>
          </w:tcPr>
          <w:p>
            <w:r>
              <w:rPr>
                <w:rFonts w:ascii="Arial" w:cs="Arial" w:eastAsia="Arial" w:hAnsi="Arial"/>
                <w:b w:val="false"/>
                <w:bCs w:val="false"/>
                <w:color w:val="222222"/>
                <w:sz w:val="20"/>
                <w:szCs w:val="20"/>
              </w:rPr>
              <w:t xml:space="preserve">Status</w:t>
            </w:r>
          </w:p>
        </w:tc>
        <w:tc>
          <w:tcPr>
            <w:tcW w:type="dxa" w:w="6500"/>
            <w:tcMar>
              <w:top w:type="dxa" w:w="100"/>
              <w:left w:type="dxa" w:w="120"/>
              <w:bottom w:type="dxa" w:w="100"/>
              <w:right w:type="dxa" w:w="120"/>
            </w:tcMar>
          </w:tcPr>
          <w:p>
            <w:r>
              <w:rPr>
                <w:rFonts w:ascii="Arial" w:cs="Arial" w:eastAsia="Arial" w:hAnsi="Arial"/>
                <w:b w:val="false"/>
                <w:bCs w:val="false"/>
                <w:color w:val="222222"/>
                <w:sz w:val="20"/>
                <w:szCs w:val="20"/>
              </w:rPr>
              <w:t xml:space="preserve">Working prototype — tested end-to-end against a sample engagement document</w:t>
            </w:r>
          </w:p>
        </w:tc>
      </w:tr>
    </w:tbl>
    <w:p>
      <w:r>
        <w:br w:type="page"/>
      </w:r>
    </w:p>
    <w:p>
      <w:pPr>
        <w:pStyle w:val="Heading1"/>
        <w:spacing w:after="160" w:before="360"/>
      </w:pPr>
      <w:r>
        <w:t xml:space="preserve">1. Overview</w:t>
      </w:r>
    </w:p>
    <w:p>
      <w:pPr>
        <w:spacing w:after="160" w:line="300"/>
      </w:pPr>
      <w:r>
        <w:rPr>
          <w:rFonts w:ascii="Arial" w:cs="Arial" w:eastAsia="Arial" w:hAnsi="Arial"/>
          <w:color w:val="222222"/>
          <w:sz w:val="22"/>
          <w:szCs w:val="22"/>
        </w:rPr>
        <w:t xml:space="preserve">ProcessGenius AI is a Retrieval-Augmented Generation (RAG) assistant that lets an Audit or Compliance Manager ask a plain-language question about a policy or engagement document and receive a direct answer with an exact section citation. The system never answers from general knowledge — every response is grounded in retrieved document content, and the assistant explicitly declines to answer when the source material does not contain the requested information.</w:t>
      </w:r>
    </w:p>
    <w:p>
      <w:pPr>
        <w:pStyle w:val="Heading2"/>
        <w:spacing w:after="120" w:before="280"/>
      </w:pPr>
      <w:r>
        <w:t xml:space="preserve">1.1 Problem statement</w:t>
      </w:r>
    </w:p>
    <w:p>
      <w:pPr>
        <w:spacing w:after="160" w:line="300"/>
      </w:pPr>
      <w:r>
        <w:rPr>
          <w:rFonts w:ascii="Arial" w:cs="Arial" w:eastAsia="Arial" w:hAnsi="Arial"/>
          <w:color w:val="222222"/>
          <w:sz w:val="22"/>
          <w:szCs w:val="22"/>
        </w:rPr>
        <w:t xml:space="preserve">Compliance and audit managers spend a significant share of pre-audit time manually cross-referencing control registers, policy documents, and prior findings to answer auditor questions. This creates two risks: slow audit response times, and inconsistent or unverifiable answers when evidence is hard to locate under time pressure.</w:t>
      </w:r>
    </w:p>
    <w:p>
      <w:pPr>
        <w:pStyle w:val="Heading2"/>
        <w:spacing w:after="120" w:before="280"/>
      </w:pPr>
      <w:r>
        <w:t xml:space="preserve">1.2 Solution summary</w:t>
      </w:r>
    </w:p>
    <w:p>
      <w:pPr>
        <w:pStyle w:val="ListParagraph"/>
        <w:numPr>
          <w:ilvl w:val="0"/>
          <w:numId w:val="1"/>
        </w:numPr>
        <w:spacing w:after="80" w:line="280"/>
      </w:pPr>
      <w:r>
        <w:rPr>
          <w:rFonts w:ascii="Arial" w:cs="Arial" w:eastAsia="Arial" w:hAnsi="Arial"/>
          <w:color w:val="222222"/>
          <w:sz w:val="22"/>
          <w:szCs w:val="22"/>
        </w:rPr>
        <w:t xml:space="preserve">Policy and engagement documents are chunked, embedded, and stored in a per-client Astra DB collection.</w:t>
      </w:r>
    </w:p>
    <w:p>
      <w:pPr>
        <w:pStyle w:val="ListParagraph"/>
        <w:numPr>
          <w:ilvl w:val="0"/>
          <w:numId w:val="1"/>
        </w:numPr>
        <w:spacing w:after="80" w:line="280"/>
      </w:pPr>
      <w:r>
        <w:rPr>
          <w:rFonts w:ascii="Arial" w:cs="Arial" w:eastAsia="Arial" w:hAnsi="Arial"/>
          <w:color w:val="222222"/>
          <w:sz w:val="22"/>
          <w:szCs w:val="22"/>
        </w:rPr>
        <w:t xml:space="preserve">A user question is embedded with the same model and matched against the collection via similarity search.</w:t>
      </w:r>
    </w:p>
    <w:p>
      <w:pPr>
        <w:pStyle w:val="ListParagraph"/>
        <w:numPr>
          <w:ilvl w:val="0"/>
          <w:numId w:val="1"/>
        </w:numPr>
        <w:spacing w:after="80" w:line="280"/>
      </w:pPr>
      <w:r>
        <w:rPr>
          <w:rFonts w:ascii="Arial" w:cs="Arial" w:eastAsia="Arial" w:hAnsi="Arial"/>
          <w:color w:val="222222"/>
          <w:sz w:val="22"/>
          <w:szCs w:val="22"/>
        </w:rPr>
        <w:t xml:space="preserve">Retrieved chunks are passed into a structured COSTAR-S prompt, which instructs the LLM to answer only from the provided context and cite the exact section.</w:t>
      </w:r>
    </w:p>
    <w:p>
      <w:pPr>
        <w:pStyle w:val="ListParagraph"/>
        <w:numPr>
          <w:ilvl w:val="0"/>
          <w:numId w:val="1"/>
        </w:numPr>
        <w:spacing w:after="80" w:line="280"/>
      </w:pPr>
      <w:r>
        <w:rPr>
          <w:rFonts w:ascii="Arial" w:cs="Arial" w:eastAsia="Arial" w:hAnsi="Arial"/>
          <w:color w:val="222222"/>
          <w:sz w:val="22"/>
          <w:szCs w:val="22"/>
        </w:rPr>
        <w:t xml:space="preserve">If no relevant context is found, the assistant returns a fixed refusal string rather than guessing — the primary safeguard against hallucinated compliance answers.</w:t>
      </w:r>
    </w:p>
    <w:p>
      <w:pPr>
        <w:pStyle w:val="Heading1"/>
        <w:spacing w:after="160" w:before="360"/>
      </w:pPr>
      <w:r>
        <w:t xml:space="preserve">2. System architecture</w:t>
      </w:r>
    </w:p>
    <w:p>
      <w:pPr>
        <w:spacing w:after="160" w:line="300"/>
      </w:pPr>
      <w:r>
        <w:rPr>
          <w:rFonts w:ascii="Arial" w:cs="Arial" w:eastAsia="Arial" w:hAnsi="Arial"/>
          <w:color w:val="222222"/>
          <w:sz w:val="22"/>
          <w:szCs w:val="22"/>
        </w:rPr>
        <w:t xml:space="preserve">The system is composed of two independent Langflow flows that share the same Astra DB collection and the same embedding model. They are built, tested, and run separately.</w:t>
      </w:r>
    </w:p>
    <w:p>
      <w:pPr>
        <w:pStyle w:val="Heading2"/>
        <w:spacing w:after="120" w:before="280"/>
      </w:pPr>
      <w:r>
        <w:t xml:space="preserve">2.1 Ingest flow (run once per document set)</w:t>
      </w:r>
    </w:p>
    <w:p>
      <w:pPr>
        <w:shd w:fill="F6F6F4" w:val="clear"/>
        <w:spacing w:after="160" w:before="120"/>
        <w:ind w:left="200" w:right="200"/>
      </w:pPr>
      <w:r>
        <w:rPr>
          <w:rFonts w:ascii="Consolas" w:cs="Consolas" w:eastAsia="Consolas" w:hAnsi="Consolas"/>
          <w:color w:val="1A1A1A"/>
          <w:sz w:val="19"/>
          <w:szCs w:val="19"/>
        </w:rPr>
        <w:t xml:space="preserve">File Loader  →  Text Splitter  →  OpenAI Embeddings  →  Astra DB (Ingest mode)</w:t>
      </w:r>
    </w:p>
    <w:p>
      <w:pPr>
        <w:spacing w:after="160" w:line="300"/>
      </w:pPr>
      <w:r>
        <w:rPr>
          <w:rFonts w:ascii="Arial" w:cs="Arial" w:eastAsia="Arial" w:hAnsi="Arial"/>
          <w:color w:val="222222"/>
          <w:sz w:val="22"/>
          <w:szCs w:val="22"/>
        </w:rPr>
        <w:t xml:space="preserve">Purpose: populate the vector collection. Re-run whenever source documents are added, replaced, or updated.</w:t>
      </w:r>
    </w:p>
    <w:p>
      <w:pPr>
        <w:pStyle w:val="Heading2"/>
        <w:spacing w:after="120" w:before="280"/>
      </w:pPr>
      <w:r>
        <w:t xml:space="preserve">2.2 Retrieval flow (run on every user query)</w:t>
      </w:r>
    </w:p>
    <w:p>
      <w:pPr>
        <w:shd w:fill="F6F6F4" w:val="clear"/>
        <w:spacing w:after="160" w:before="120"/>
        <w:ind w:left="200" w:right="200"/>
      </w:pPr>
      <w:r>
        <w:rPr>
          <w:rFonts w:ascii="Consolas" w:cs="Consolas" w:eastAsia="Consolas" w:hAnsi="Consolas"/>
          <w:color w:val="1A1A1A"/>
          <w:sz w:val="19"/>
          <w:szCs w:val="19"/>
        </w:rPr>
        <w:t xml:space="preserve">Chat Input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                                              ▼</w:t>
      </w:r>
      <w:r>
        <w:rPr>
          <w:rFonts w:ascii="Consolas" w:cs="Consolas" w:eastAsia="Consolas" w:hAnsi="Consolas"/>
          <w:color w:val="1A1A1A"/>
          <w:sz w:val="19"/>
          <w:szCs w:val="19"/>
        </w:rPr>
        <w:br/>
        <w:t xml:space="preserve">OpenAI Embeddings → Astra DB (Search mode) → Parser → Prompt (COSTAR-S) → LLM → Chat Output</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  (Chat Input also feeds {user_input} directly into the Prompt node)</w:t>
      </w:r>
    </w:p>
    <w:p>
      <w:pPr>
        <w:spacing w:after="160" w:line="300"/>
      </w:pPr>
      <w:r>
        <w:rPr>
          <w:rFonts w:ascii="Arial" w:cs="Arial" w:eastAsia="Arial" w:hAnsi="Arial"/>
          <w:color w:val="222222"/>
          <w:sz w:val="22"/>
          <w:szCs w:val="22"/>
        </w:rPr>
        <w:t xml:space="preserve">Purpose: answer a live user question. The user's question is embedded and matched against the same collection populated by the ingest flow; retrieved chunks are parsed to plain text and injected into the prompt as {context}, alongside the raw question as {user_input}.</w:t>
      </w:r>
    </w:p>
    <w:p>
      <w:pPr>
        <w:pStyle w:val="Heading2"/>
        <w:spacing w:after="120" w:before="280"/>
      </w:pPr>
      <w:r>
        <w:t xml:space="preserve">2.3 Component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500"/>
      </w:tblGrid>
      <w:tr>
        <w:trPr>
          <w:tblHeader/>
        </w:trPr>
        <w:tc>
          <w:tcPr>
            <w:tcW w:type="dxa" w:w="2400"/>
            <w:shd w:fill="13293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3600"/>
            <w:shd w:fill="13293D" w:val="clear"/>
            <w:tcMar>
              <w:top w:type="dxa" w:w="100"/>
              <w:left w:type="dxa" w:w="120"/>
              <w:bottom w:type="dxa" w:w="100"/>
              <w:right w:type="dxa" w:w="120"/>
            </w:tcMar>
          </w:tcPr>
          <w:p>
            <w:r>
              <w:rPr>
                <w:rFonts w:ascii="Arial" w:cs="Arial" w:eastAsia="Arial" w:hAnsi="Arial"/>
                <w:b/>
                <w:bCs/>
                <w:color w:val="FFFFFF"/>
                <w:sz w:val="20"/>
                <w:szCs w:val="20"/>
              </w:rPr>
              <w:t xml:space="preserve">Configuration</w:t>
            </w:r>
          </w:p>
        </w:tc>
        <w:tc>
          <w:tcPr>
            <w:tcW w:type="dxa" w:w="3500"/>
            <w:shd w:fill="13293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400"/>
            <w:tcMar>
              <w:top w:type="dxa" w:w="100"/>
              <w:left w:type="dxa" w:w="120"/>
              <w:bottom w:type="dxa" w:w="100"/>
              <w:right w:type="dxa" w:w="120"/>
            </w:tcMar>
          </w:tcPr>
          <w:p>
            <w:r>
              <w:rPr>
                <w:rFonts w:ascii="Arial" w:cs="Arial" w:eastAsia="Arial" w:hAnsi="Arial"/>
                <w:b w:val="false"/>
                <w:bCs w:val="false"/>
                <w:color w:val="222222"/>
                <w:sz w:val="20"/>
                <w:szCs w:val="20"/>
              </w:rPr>
              <w:t xml:space="preserve">File Loader</w:t>
            </w:r>
          </w:p>
        </w:tc>
        <w:tc>
          <w:tcPr>
            <w:tcW w:type="dxa" w:w="3600"/>
            <w:tcMar>
              <w:top w:type="dxa" w:w="100"/>
              <w:left w:type="dxa" w:w="120"/>
              <w:bottom w:type="dxa" w:w="100"/>
              <w:right w:type="dxa" w:w="120"/>
            </w:tcMar>
          </w:tcPr>
          <w:p>
            <w:r>
              <w:rPr>
                <w:rFonts w:ascii="Arial" w:cs="Arial" w:eastAsia="Arial" w:hAnsi="Arial"/>
                <w:b w:val="false"/>
                <w:bCs w:val="false"/>
                <w:color w:val="222222"/>
                <w:sz w:val="20"/>
                <w:szCs w:val="20"/>
              </w:rPr>
              <w:t xml:space="preserve">Accepts .txt / .pdf / .docx / .csv / .json / .md</w:t>
            </w:r>
          </w:p>
        </w:tc>
        <w:tc>
          <w:tcPr>
            <w:tcW w:type="dxa" w:w="3500"/>
            <w:tcMar>
              <w:top w:type="dxa" w:w="100"/>
              <w:left w:type="dxa" w:w="120"/>
              <w:bottom w:type="dxa" w:w="100"/>
              <w:right w:type="dxa" w:w="120"/>
            </w:tcMar>
          </w:tcPr>
          <w:p>
            <w:r>
              <w:rPr>
                <w:rFonts w:ascii="Arial" w:cs="Arial" w:eastAsia="Arial" w:hAnsi="Arial"/>
                <w:b w:val="false"/>
                <w:bCs w:val="false"/>
                <w:color w:val="222222"/>
                <w:sz w:val="20"/>
                <w:szCs w:val="20"/>
              </w:rPr>
              <w:t xml:space="preserve">PDF must contain extractable text, not a scanned image</w:t>
            </w:r>
          </w:p>
        </w:tc>
      </w:tr>
      <w:tr>
        <w:tc>
          <w:tcPr>
            <w:tcW w:type="dxa" w:w="24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Text Splitter</w:t>
            </w:r>
          </w:p>
        </w:tc>
        <w:tc>
          <w:tcPr>
            <w:tcW w:type="dxa" w:w="36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Recursive character splitter, ~500–800 tokens, ~100 token overlap</w:t>
            </w:r>
          </w:p>
        </w:tc>
        <w:tc>
          <w:tcPr>
            <w:tcW w:type="dxa" w:w="3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Sized to roughly one clause/section per chunk</w:t>
            </w:r>
          </w:p>
        </w:tc>
      </w:tr>
      <w:tr>
        <w:tc>
          <w:tcPr>
            <w:tcW w:type="dxa" w:w="2400"/>
            <w:tcMar>
              <w:top w:type="dxa" w:w="100"/>
              <w:left w:type="dxa" w:w="120"/>
              <w:bottom w:type="dxa" w:w="100"/>
              <w:right w:type="dxa" w:w="120"/>
            </w:tcMar>
          </w:tcPr>
          <w:p>
            <w:r>
              <w:rPr>
                <w:rFonts w:ascii="Arial" w:cs="Arial" w:eastAsia="Arial" w:hAnsi="Arial"/>
                <w:b w:val="false"/>
                <w:bCs w:val="false"/>
                <w:color w:val="222222"/>
                <w:sz w:val="20"/>
                <w:szCs w:val="20"/>
              </w:rPr>
              <w:t xml:space="preserve">OpenAI Embeddings</w:t>
            </w:r>
          </w:p>
        </w:tc>
        <w:tc>
          <w:tcPr>
            <w:tcW w:type="dxa" w:w="3600"/>
            <w:tcMar>
              <w:top w:type="dxa" w:w="100"/>
              <w:left w:type="dxa" w:w="120"/>
              <w:bottom w:type="dxa" w:w="100"/>
              <w:right w:type="dxa" w:w="120"/>
            </w:tcMar>
          </w:tcPr>
          <w:p>
            <w:r>
              <w:rPr>
                <w:rFonts w:ascii="Arial" w:cs="Arial" w:eastAsia="Arial" w:hAnsi="Arial"/>
                <w:b w:val="false"/>
                <w:bCs w:val="false"/>
                <w:color w:val="222222"/>
                <w:sz w:val="20"/>
                <w:szCs w:val="20"/>
              </w:rPr>
              <w:t xml:space="preserve">text-embedding-ada-002 (1536-dim)</w:t>
            </w:r>
          </w:p>
        </w:tc>
        <w:tc>
          <w:tcPr>
            <w:tcW w:type="dxa" w:w="3500"/>
            <w:tcMar>
              <w:top w:type="dxa" w:w="100"/>
              <w:left w:type="dxa" w:w="120"/>
              <w:bottom w:type="dxa" w:w="100"/>
              <w:right w:type="dxa" w:w="120"/>
            </w:tcMar>
          </w:tcPr>
          <w:p>
            <w:r>
              <w:rPr>
                <w:rFonts w:ascii="Arial" w:cs="Arial" w:eastAsia="Arial" w:hAnsi="Arial"/>
                <w:b w:val="false"/>
                <w:bCs w:val="false"/>
                <w:color w:val="222222"/>
                <w:sz w:val="20"/>
                <w:szCs w:val="20"/>
              </w:rPr>
              <w:t xml:space="preserve">Must be identical on ingest and retrieval sides</w:t>
            </w:r>
          </w:p>
        </w:tc>
      </w:tr>
      <w:tr>
        <w:tc>
          <w:tcPr>
            <w:tcW w:type="dxa" w:w="24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Astra DB — Ingest mode</w:t>
            </w:r>
          </w:p>
        </w:tc>
        <w:tc>
          <w:tcPr>
            <w:tcW w:type="dxa" w:w="36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Collection: per-client (e.g. iplprocessgenius)</w:t>
            </w:r>
          </w:p>
        </w:tc>
        <w:tc>
          <w:tcPr>
            <w:tcW w:type="dxa" w:w="3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Same component type as Search mode; switched via the mode toggle</w:t>
            </w:r>
          </w:p>
        </w:tc>
      </w:tr>
      <w:tr>
        <w:tc>
          <w:tcPr>
            <w:tcW w:type="dxa" w:w="2400"/>
            <w:tcMar>
              <w:top w:type="dxa" w:w="100"/>
              <w:left w:type="dxa" w:w="120"/>
              <w:bottom w:type="dxa" w:w="100"/>
              <w:right w:type="dxa" w:w="120"/>
            </w:tcMar>
          </w:tcPr>
          <w:p>
            <w:r>
              <w:rPr>
                <w:rFonts w:ascii="Arial" w:cs="Arial" w:eastAsia="Arial" w:hAnsi="Arial"/>
                <w:b w:val="false"/>
                <w:bCs w:val="false"/>
                <w:color w:val="222222"/>
                <w:sz w:val="20"/>
                <w:szCs w:val="20"/>
              </w:rPr>
              <w:t xml:space="preserve">Astra DB — Search mode</w:t>
            </w:r>
          </w:p>
        </w:tc>
        <w:tc>
          <w:tcPr>
            <w:tcW w:type="dxa" w:w="3600"/>
            <w:tcMar>
              <w:top w:type="dxa" w:w="100"/>
              <w:left w:type="dxa" w:w="120"/>
              <w:bottom w:type="dxa" w:w="100"/>
              <w:right w:type="dxa" w:w="120"/>
            </w:tcMar>
          </w:tcPr>
          <w:p>
            <w:r>
              <w:rPr>
                <w:rFonts w:ascii="Arial" w:cs="Arial" w:eastAsia="Arial" w:hAnsi="Arial"/>
                <w:b w:val="false"/>
                <w:bCs w:val="false"/>
                <w:color w:val="222222"/>
                <w:sz w:val="20"/>
                <w:szCs w:val="20"/>
              </w:rPr>
              <w:t xml:space="preserve">Similarity search, top-k = 4</w:t>
            </w:r>
          </w:p>
        </w:tc>
        <w:tc>
          <w:tcPr>
            <w:tcW w:type="dxa" w:w="3500"/>
            <w:tcMar>
              <w:top w:type="dxa" w:w="100"/>
              <w:left w:type="dxa" w:w="120"/>
              <w:bottom w:type="dxa" w:w="100"/>
              <w:right w:type="dxa" w:w="120"/>
            </w:tcMar>
          </w:tcPr>
          <w:p>
            <w:r>
              <w:rPr>
                <w:rFonts w:ascii="Arial" w:cs="Arial" w:eastAsia="Arial" w:hAnsi="Arial"/>
                <w:b w:val="false"/>
                <w:bCs w:val="false"/>
                <w:color w:val="222222"/>
                <w:sz w:val="20"/>
                <w:szCs w:val="20"/>
              </w:rPr>
              <w:t xml:space="preserve">Search Query field must be wired to Chat Input</w:t>
            </w:r>
          </w:p>
        </w:tc>
      </w:tr>
      <w:tr>
        <w:tc>
          <w:tcPr>
            <w:tcW w:type="dxa" w:w="24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Parser</w:t>
            </w:r>
          </w:p>
        </w:tc>
        <w:tc>
          <w:tcPr>
            <w:tcW w:type="dxa" w:w="36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Mode: Stringify (or Parser with a template)</w:t>
            </w:r>
          </w:p>
        </w:tc>
        <w:tc>
          <w:tcPr>
            <w:tcW w:type="dxa" w:w="3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Converts retrieved Data objects to plain text for the prompt</w:t>
            </w:r>
          </w:p>
        </w:tc>
      </w:tr>
      <w:tr>
        <w:tc>
          <w:tcPr>
            <w:tcW w:type="dxa" w:w="2400"/>
            <w:tcMar>
              <w:top w:type="dxa" w:w="100"/>
              <w:left w:type="dxa" w:w="120"/>
              <w:bottom w:type="dxa" w:w="100"/>
              <w:right w:type="dxa" w:w="120"/>
            </w:tcMar>
          </w:tcPr>
          <w:p>
            <w:r>
              <w:rPr>
                <w:rFonts w:ascii="Arial" w:cs="Arial" w:eastAsia="Arial" w:hAnsi="Arial"/>
                <w:b w:val="false"/>
                <w:bCs w:val="false"/>
                <w:color w:val="222222"/>
                <w:sz w:val="20"/>
                <w:szCs w:val="20"/>
              </w:rPr>
              <w:t xml:space="preserve">Prompt</w:t>
            </w:r>
          </w:p>
        </w:tc>
        <w:tc>
          <w:tcPr>
            <w:tcW w:type="dxa" w:w="3600"/>
            <w:tcMar>
              <w:top w:type="dxa" w:w="100"/>
              <w:left w:type="dxa" w:w="120"/>
              <w:bottom w:type="dxa" w:w="100"/>
              <w:right w:type="dxa" w:w="120"/>
            </w:tcMar>
          </w:tcPr>
          <w:p>
            <w:r>
              <w:rPr>
                <w:rFonts w:ascii="Arial" w:cs="Arial" w:eastAsia="Arial" w:hAnsi="Arial"/>
                <w:b w:val="false"/>
                <w:bCs w:val="false"/>
                <w:color w:val="222222"/>
                <w:sz w:val="20"/>
                <w:szCs w:val="20"/>
              </w:rPr>
              <w:t xml:space="preserve">COSTAR-S template (see Section 3)</w:t>
            </w:r>
          </w:p>
        </w:tc>
        <w:tc>
          <w:tcPr>
            <w:tcW w:type="dxa" w:w="3500"/>
            <w:tcMar>
              <w:top w:type="dxa" w:w="100"/>
              <w:left w:type="dxa" w:w="120"/>
              <w:bottom w:type="dxa" w:w="100"/>
              <w:right w:type="dxa" w:w="120"/>
            </w:tcMar>
          </w:tcPr>
          <w:p>
            <w:r>
              <w:rPr>
                <w:rFonts w:ascii="Arial" w:cs="Arial" w:eastAsia="Arial" w:hAnsi="Arial"/>
                <w:b w:val="false"/>
                <w:bCs w:val="false"/>
                <w:color w:val="222222"/>
                <w:sz w:val="20"/>
                <w:szCs w:val="20"/>
              </w:rPr>
              <w:t xml:space="preserve">Receives {context} from Parser and {user_input} from Chat Input</w:t>
            </w:r>
          </w:p>
        </w:tc>
      </w:tr>
      <w:tr>
        <w:tc>
          <w:tcPr>
            <w:tcW w:type="dxa" w:w="24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LLM</w:t>
            </w:r>
          </w:p>
        </w:tc>
        <w:tc>
          <w:tcPr>
            <w:tcW w:type="dxa" w:w="36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e.g. GPT-4o-mini / GPT-3.5-turbo via OpenRouter</w:t>
            </w:r>
          </w:p>
        </w:tc>
        <w:tc>
          <w:tcPr>
            <w:tcW w:type="dxa" w:w="3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Swappable without changing the retrieval logic</w:t>
            </w:r>
          </w:p>
        </w:tc>
      </w:tr>
      <w:tr>
        <w:tc>
          <w:tcPr>
            <w:tcW w:type="dxa" w:w="2400"/>
            <w:tcMar>
              <w:top w:type="dxa" w:w="100"/>
              <w:left w:type="dxa" w:w="120"/>
              <w:bottom w:type="dxa" w:w="100"/>
              <w:right w:type="dxa" w:w="120"/>
            </w:tcMar>
          </w:tcPr>
          <w:p>
            <w:r>
              <w:rPr>
                <w:rFonts w:ascii="Arial" w:cs="Arial" w:eastAsia="Arial" w:hAnsi="Arial"/>
                <w:b w:val="false"/>
                <w:bCs w:val="false"/>
                <w:color w:val="222222"/>
                <w:sz w:val="20"/>
                <w:szCs w:val="20"/>
              </w:rPr>
              <w:t xml:space="preserve">Chat Output</w:t>
            </w:r>
          </w:p>
        </w:tc>
        <w:tc>
          <w:tcPr>
            <w:tcW w:type="dxa" w:w="3600"/>
            <w:tcMar>
              <w:top w:type="dxa" w:w="100"/>
              <w:left w:type="dxa" w:w="120"/>
              <w:bottom w:type="dxa" w:w="100"/>
              <w:right w:type="dxa" w:w="120"/>
            </w:tcMar>
          </w:tcPr>
          <w:p>
            <w:r>
              <w:rPr>
                <w:rFonts w:ascii="Arial" w:cs="Arial" w:eastAsia="Arial" w:hAnsi="Arial"/>
                <w:b w:val="false"/>
                <w:bCs w:val="false"/>
                <w:color w:val="222222"/>
                <w:sz w:val="20"/>
                <w:szCs w:val="20"/>
              </w:rPr>
              <w:t xml:space="preserve">Displays final answer</w:t>
            </w:r>
          </w:p>
        </w:tc>
        <w:tc>
          <w:tcPr>
            <w:tcW w:type="dxa" w:w="3500"/>
            <w:tcMar>
              <w:top w:type="dxa" w:w="100"/>
              <w:left w:type="dxa" w:w="120"/>
              <w:bottom w:type="dxa" w:w="100"/>
              <w:right w:type="dxa" w:w="120"/>
            </w:tcMar>
          </w:tcPr>
          <w:p>
            <w:r>
              <w:rPr>
                <w:rFonts w:ascii="Arial" w:cs="Arial" w:eastAsia="Arial" w:hAnsi="Arial"/>
                <w:b w:val="false"/>
                <w:bCs w:val="false"/>
                <w:color w:val="222222"/>
                <w:sz w:val="20"/>
                <w:szCs w:val="20"/>
              </w:rPr>
              <w:t xml:space="preserve">—</w:t>
            </w:r>
          </w:p>
        </w:tc>
      </w:tr>
    </w:tbl>
    <w:p>
      <w:r>
        <w:br w:type="page"/>
      </w:r>
    </w:p>
    <w:p>
      <w:pPr>
        <w:pStyle w:val="Heading1"/>
        <w:spacing w:after="160" w:before="360"/>
      </w:pPr>
      <w:r>
        <w:t xml:space="preserve">3. Prompt engineering — COSTAR-S template</w:t>
      </w:r>
    </w:p>
    <w:p>
      <w:pPr>
        <w:spacing w:after="160" w:line="300"/>
      </w:pPr>
      <w:r>
        <w:rPr>
          <w:rFonts w:ascii="Arial" w:cs="Arial" w:eastAsia="Arial" w:hAnsi="Arial"/>
          <w:color w:val="222222"/>
          <w:sz w:val="22"/>
          <w:szCs w:val="22"/>
        </w:rPr>
        <w:t xml:space="preserve">The prompt follows the COSTAR-S framework (Context, Objective, Style, Tone, Audience, Response format, Stop condition/Safeguard). The Stop condition is the system's core hallucination guardrail.</w:t>
      </w:r>
    </w:p>
    <w:p>
      <w:pPr>
        <w:shd w:fill="F6F6F4" w:val="clear"/>
        <w:spacing w:after="160" w:before="120"/>
        <w:ind w:left="200" w:right="200"/>
      </w:pPr>
      <w:r>
        <w:rPr>
          <w:rFonts w:ascii="Consolas" w:cs="Consolas" w:eastAsia="Consolas" w:hAnsi="Consolas"/>
          <w:color w:val="1A1A1A"/>
          <w:sz w:val="19"/>
          <w:szCs w:val="19"/>
        </w:rPr>
        <w:t xml:space="preserve">Context:</w:t>
      </w:r>
      <w:r>
        <w:rPr>
          <w:rFonts w:ascii="Consolas" w:cs="Consolas" w:eastAsia="Consolas" w:hAnsi="Consolas"/>
          <w:color w:val="1A1A1A"/>
          <w:sz w:val="19"/>
          <w:szCs w:val="19"/>
        </w:rPr>
        <w:br/>
        <w:t xml:space="preserve">{context}</w:t>
      </w:r>
      <w:r>
        <w:rPr>
          <w:rFonts w:ascii="Consolas" w:cs="Consolas" w:eastAsia="Consolas" w:hAnsi="Consolas"/>
          <w:color w:val="1A1A1A"/>
          <w:sz w:val="19"/>
          <w:szCs w:val="19"/>
        </w:rPr>
        <w:br/>
        <w:t xml:space="preserve">__________________________</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Objective:</w:t>
      </w:r>
      <w:r>
        <w:rPr>
          <w:rFonts w:ascii="Consolas" w:cs="Consolas" w:eastAsia="Consolas" w:hAnsi="Consolas"/>
          <w:color w:val="1A1A1A"/>
          <w:sz w:val="19"/>
          <w:szCs w:val="19"/>
        </w:rPr>
        <w:br/>
        <w:t xml:space="preserve">Answer the user's compliance question using only the context provided</w:t>
      </w:r>
      <w:r>
        <w:rPr>
          <w:rFonts w:ascii="Consolas" w:cs="Consolas" w:eastAsia="Consolas" w:hAnsi="Consolas"/>
          <w:color w:val="1A1A1A"/>
          <w:sz w:val="19"/>
          <w:szCs w:val="19"/>
        </w:rPr>
        <w:br/>
        <w:t xml:space="preserve">above. Do not use outside knowledge, assumptions, or general compliance</w:t>
      </w:r>
      <w:r>
        <w:rPr>
          <w:rFonts w:ascii="Consolas" w:cs="Consolas" w:eastAsia="Consolas" w:hAnsi="Consolas"/>
          <w:color w:val="1A1A1A"/>
          <w:sz w:val="19"/>
          <w:szCs w:val="19"/>
        </w:rPr>
        <w:br/>
        <w:t xml:space="preserve">best practices — answer strictly from the retrieved documentation.</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Style:</w:t>
      </w:r>
      <w:r>
        <w:rPr>
          <w:rFonts w:ascii="Consolas" w:cs="Consolas" w:eastAsia="Consolas" w:hAnsi="Consolas"/>
          <w:color w:val="1A1A1A"/>
          <w:sz w:val="19"/>
          <w:szCs w:val="19"/>
        </w:rPr>
        <w:br/>
        <w:t xml:space="preserve">Formal, clause-referenced. Cite the specific Section number(s)</w:t>
      </w:r>
      <w:r>
        <w:rPr>
          <w:rFonts w:ascii="Consolas" w:cs="Consolas" w:eastAsia="Consolas" w:hAnsi="Consolas"/>
          <w:color w:val="1A1A1A"/>
          <w:sz w:val="19"/>
          <w:szCs w:val="19"/>
        </w:rPr>
        <w:br/>
        <w:t xml:space="preserve">supporting your answer.</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Tone:</w:t>
      </w:r>
      <w:r>
        <w:rPr>
          <w:rFonts w:ascii="Consolas" w:cs="Consolas" w:eastAsia="Consolas" w:hAnsi="Consolas"/>
          <w:color w:val="1A1A1A"/>
          <w:sz w:val="19"/>
          <w:szCs w:val="19"/>
        </w:rPr>
        <w:br/>
        <w:t xml:space="preserve">Neutral and authoritative — this is a compliance reference tool, not a</w:t>
      </w:r>
      <w:r>
        <w:rPr>
          <w:rFonts w:ascii="Consolas" w:cs="Consolas" w:eastAsia="Consolas" w:hAnsi="Consolas"/>
          <w:color w:val="1A1A1A"/>
          <w:sz w:val="19"/>
          <w:szCs w:val="19"/>
        </w:rPr>
        <w:br/>
        <w:t xml:space="preserve">conversational assistant.</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Audience:</w:t>
      </w:r>
      <w:r>
        <w:rPr>
          <w:rFonts w:ascii="Consolas" w:cs="Consolas" w:eastAsia="Consolas" w:hAnsi="Consolas"/>
          <w:color w:val="1A1A1A"/>
          <w:sz w:val="19"/>
          <w:szCs w:val="19"/>
        </w:rPr>
        <w:br/>
        <w:t xml:space="preserve">Compliance and audit managers who need to quickly locate control</w:t>
      </w:r>
      <w:r>
        <w:rPr>
          <w:rFonts w:ascii="Consolas" w:cs="Consolas" w:eastAsia="Consolas" w:hAnsi="Consolas"/>
          <w:color w:val="1A1A1A"/>
          <w:sz w:val="19"/>
          <w:szCs w:val="19"/>
        </w:rPr>
        <w:br/>
        <w:t xml:space="preserve">evidence, ownership, or escalation procedures — often under time</w:t>
      </w:r>
      <w:r>
        <w:rPr>
          <w:rFonts w:ascii="Consolas" w:cs="Consolas" w:eastAsia="Consolas" w:hAnsi="Consolas"/>
          <w:color w:val="1A1A1A"/>
          <w:sz w:val="19"/>
          <w:szCs w:val="19"/>
        </w:rPr>
        <w:br/>
        <w:t xml:space="preserve">pressure during an active audit.</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Response format:</w:t>
      </w:r>
      <w:r>
        <w:rPr>
          <w:rFonts w:ascii="Consolas" w:cs="Consolas" w:eastAsia="Consolas" w:hAnsi="Consolas"/>
          <w:color w:val="1A1A1A"/>
          <w:sz w:val="19"/>
          <w:szCs w:val="19"/>
        </w:rPr>
        <w:br/>
        <w:t xml:space="preserve">1. Direct answer (1-3 sentences)</w:t>
      </w:r>
      <w:r>
        <w:rPr>
          <w:rFonts w:ascii="Consolas" w:cs="Consolas" w:eastAsia="Consolas" w:hAnsi="Consolas"/>
          <w:color w:val="1A1A1A"/>
          <w:sz w:val="19"/>
          <w:szCs w:val="19"/>
        </w:rPr>
        <w:br/>
        <w:t xml:space="preserve">2. Cited section(s): [Section X.X]</w:t>
      </w:r>
      <w:r>
        <w:rPr>
          <w:rFonts w:ascii="Consolas" w:cs="Consolas" w:eastAsia="Consolas" w:hAnsi="Consolas"/>
          <w:color w:val="1A1A1A"/>
          <w:sz w:val="19"/>
          <w:szCs w:val="19"/>
        </w:rPr>
        <w:br/>
        <w:t xml:space="preserve">3. If the context does not contain the answer, respond exactly:</w:t>
      </w:r>
      <w:r>
        <w:rPr>
          <w:rFonts w:ascii="Consolas" w:cs="Consolas" w:eastAsia="Consolas" w:hAnsi="Consolas"/>
          <w:color w:val="1A1A1A"/>
          <w:sz w:val="19"/>
          <w:szCs w:val="19"/>
        </w:rPr>
        <w:br/>
        <w:t xml:space="preserve">   "I DON'T HAVE THAT INFORMATION WITH ME"</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Stop condition / Safeguard:</w:t>
      </w:r>
      <w:r>
        <w:rPr>
          <w:rFonts w:ascii="Consolas" w:cs="Consolas" w:eastAsia="Consolas" w:hAnsi="Consolas"/>
          <w:color w:val="1A1A1A"/>
          <w:sz w:val="19"/>
          <w:szCs w:val="19"/>
        </w:rPr>
        <w:br/>
        <w:t xml:space="preserve">Never infer, extrapolate, or fabricate a compliance answer beyond what</w:t>
      </w:r>
      <w:r>
        <w:rPr>
          <w:rFonts w:ascii="Consolas" w:cs="Consolas" w:eastAsia="Consolas" w:hAnsi="Consolas"/>
          <w:color w:val="1A1A1A"/>
          <w:sz w:val="19"/>
          <w:szCs w:val="19"/>
        </w:rPr>
        <w:br/>
        <w:t xml:space="preserve">Section text explicitly states. If uncertain, default to</w:t>
      </w:r>
      <w:r>
        <w:rPr>
          <w:rFonts w:ascii="Consolas" w:cs="Consolas" w:eastAsia="Consolas" w:hAnsi="Consolas"/>
          <w:color w:val="1A1A1A"/>
          <w:sz w:val="19"/>
          <w:szCs w:val="19"/>
        </w:rPr>
        <w:br/>
        <w:t xml:space="preserve">"I DON'T HAVE THAT INFORMATION WITH ME."</w:t>
      </w:r>
      <w:r>
        <w:rPr>
          <w:rFonts w:ascii="Consolas" w:cs="Consolas" w:eastAsia="Consolas" w:hAnsi="Consolas"/>
          <w:color w:val="1A1A1A"/>
          <w:sz w:val="19"/>
          <w:szCs w:val="19"/>
        </w:rPr>
        <w:br/>
        <w:t xml:space="preserve"/>
      </w:r>
      <w:r>
        <w:rPr>
          <w:rFonts w:ascii="Consolas" w:cs="Consolas" w:eastAsia="Consolas" w:hAnsi="Consolas"/>
          <w:color w:val="1A1A1A"/>
          <w:sz w:val="19"/>
          <w:szCs w:val="19"/>
        </w:rPr>
        <w:br/>
        <w:t xml:space="preserve">User Input: {user_input}</w:t>
      </w:r>
    </w:p>
    <w:p>
      <w:pPr>
        <w:pStyle w:val="Heading1"/>
        <w:spacing w:after="160" w:before="360"/>
      </w:pPr>
      <w:r>
        <w:t xml:space="preserve">4. Source data</w:t>
      </w:r>
    </w:p>
    <w:p>
      <w:pPr>
        <w:spacing w:after="160" w:line="300"/>
      </w:pPr>
      <w:r>
        <w:rPr>
          <w:rFonts w:ascii="Arial" w:cs="Arial" w:eastAsia="Arial" w:hAnsi="Arial"/>
          <w:color w:val="222222"/>
          <w:sz w:val="22"/>
          <w:szCs w:val="22"/>
        </w:rPr>
        <w:t xml:space="preserve">The prototype was validated against a single illustrative source document representing the class of documents this system is designed to handle:</w:t>
      </w:r>
    </w:p>
    <w:p>
      <w:pPr>
        <w:spacing w:after="140" w:line="300"/>
      </w:pPr>
      <w:r>
        <w:rPr>
          <w:rFonts w:ascii="Arial" w:cs="Arial" w:eastAsia="Arial" w:hAnsi="Arial"/>
          <w:b/>
          <w:bCs/>
          <w:color w:val="13293D"/>
          <w:sz w:val="22"/>
          <w:szCs w:val="22"/>
        </w:rPr>
        <w:t xml:space="preserve">Document:  </w:t>
      </w:r>
      <w:r>
        <w:rPr>
          <w:rFonts w:ascii="Arial" w:cs="Arial" w:eastAsia="Arial" w:hAnsi="Arial"/>
          <w:color w:val="222222"/>
          <w:sz w:val="22"/>
          <w:szCs w:val="22"/>
        </w:rPr>
        <w:t xml:space="preserve">processgenius_audit_services_engagement_agreement.pdf</w:t>
      </w:r>
    </w:p>
    <w:p>
      <w:pPr>
        <w:spacing w:after="140" w:line="300"/>
      </w:pPr>
      <w:r>
        <w:rPr>
          <w:rFonts w:ascii="Arial" w:cs="Arial" w:eastAsia="Arial" w:hAnsi="Arial"/>
          <w:b/>
          <w:bCs/>
          <w:color w:val="13293D"/>
          <w:sz w:val="22"/>
          <w:szCs w:val="22"/>
        </w:rPr>
        <w:t xml:space="preserve">Structure:  </w:t>
      </w:r>
      <w:r>
        <w:rPr>
          <w:rFonts w:ascii="Arial" w:cs="Arial" w:eastAsia="Arial" w:hAnsi="Arial"/>
          <w:color w:val="222222"/>
          <w:sz w:val="22"/>
          <w:szCs w:val="22"/>
        </w:rPr>
        <w:t xml:space="preserve">Numbered agreement clauses (Sections 1–5, with sub-clauses 5a–5g) plus Exhibit A, containing a scope/fee table and a deliverables list.</w:t>
      </w:r>
    </w:p>
    <w:p>
      <w:pPr>
        <w:spacing w:after="140" w:line="300"/>
      </w:pPr>
      <w:r>
        <w:rPr>
          <w:rFonts w:ascii="Arial" w:cs="Arial" w:eastAsia="Arial" w:hAnsi="Arial"/>
          <w:b/>
          <w:bCs/>
          <w:color w:val="13293D"/>
          <w:sz w:val="22"/>
          <w:szCs w:val="22"/>
        </w:rPr>
        <w:t xml:space="preserve">Why this structure:  </w:t>
      </w:r>
      <w:r>
        <w:rPr>
          <w:rFonts w:ascii="Arial" w:cs="Arial" w:eastAsia="Arial" w:hAnsi="Arial"/>
          <w:color w:val="222222"/>
          <w:sz w:val="22"/>
          <w:szCs w:val="22"/>
        </w:rPr>
        <w:t xml:space="preserve">Numbered, self-contained clauses give the model a clean unit to cite, and the embedded table/list content exercises the chunking and parsing steps beyond plain paragraph text.</w:t>
      </w:r>
    </w:p>
    <w:p>
      <w:pPr>
        <w:pStyle w:val="Heading1"/>
        <w:spacing w:after="160" w:before="360"/>
      </w:pPr>
      <w:r>
        <w:t xml:space="preserve">5. Testing &amp; validation</w:t>
      </w:r>
    </w:p>
    <w:p>
      <w:pPr>
        <w:spacing w:after="160" w:line="300"/>
      </w:pPr>
      <w:r>
        <w:rPr>
          <w:rFonts w:ascii="Arial" w:cs="Arial" w:eastAsia="Arial" w:hAnsi="Arial"/>
          <w:color w:val="222222"/>
          <w:sz w:val="22"/>
          <w:szCs w:val="22"/>
        </w:rPr>
        <w:t xml:space="preserve">Test questions are grouped into three categories: in-scope retrieval, table/list retrieval, and out-of-scope (hallucination guardrail) checks.</w:t>
      </w:r>
    </w:p>
    <w:p>
      <w:pPr>
        <w:pStyle w:val="Heading2"/>
        <w:spacing w:after="120" w:before="280"/>
      </w:pPr>
      <w:r>
        <w:t xml:space="preserve">5.1 In-scope retrieval tests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300"/>
        <w:gridCol w:w="1500"/>
      </w:tblGrid>
      <w:tr>
        <w:trPr>
          <w:tblHeader/>
        </w:trPr>
        <w:tc>
          <w:tcPr>
            <w:tcW w:type="dxa" w:w="500"/>
            <w:shd w:fill="13293D"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shd w:fill="13293D"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300"/>
            <w:shd w:fill="13293D" w:val="clear"/>
            <w:tcMar>
              <w:top w:type="dxa" w:w="100"/>
              <w:left w:type="dxa" w:w="120"/>
              <w:bottom w:type="dxa" w:w="100"/>
              <w:right w:type="dxa" w:w="120"/>
            </w:tcMar>
          </w:tcPr>
          <w:p>
            <w:r>
              <w:rPr>
                <w:rFonts w:ascii="Arial" w:cs="Arial" w:eastAsia="Arial" w:hAnsi="Arial"/>
                <w:b/>
                <w:bCs/>
                <w:color w:val="FFFFFF"/>
                <w:sz w:val="20"/>
                <w:szCs w:val="20"/>
              </w:rPr>
              <w:t xml:space="preserve">Expected answer</w:t>
            </w:r>
          </w:p>
        </w:tc>
        <w:tc>
          <w:tcPr>
            <w:tcW w:type="dxa" w:w="1500"/>
            <w:shd w:fill="13293D"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500"/>
            <w:tcMar>
              <w:top w:type="dxa" w:w="100"/>
              <w:left w:type="dxa" w:w="120"/>
              <w:bottom w:type="dxa" w:w="100"/>
              <w:right w:type="dxa" w:w="120"/>
            </w:tcMar>
          </w:tcPr>
          <w:p>
            <w:r>
              <w:rPr>
                <w:rFonts w:ascii="Arial" w:cs="Arial" w:eastAsia="Arial" w:hAnsi="Arial"/>
                <w:b w:val="false"/>
                <w:bCs w:val="false"/>
                <w:color w:val="222222"/>
                <w:sz w:val="20"/>
                <w:szCs w:val="20"/>
              </w:rPr>
              <w:t xml:space="preserve">1</w:t>
            </w:r>
          </w:p>
        </w:tc>
        <w:tc>
          <w:tcPr>
            <w:tcW w:type="dxa" w:w="3200"/>
            <w:tcMar>
              <w:top w:type="dxa" w:w="100"/>
              <w:left w:type="dxa" w:w="120"/>
              <w:bottom w:type="dxa" w:w="100"/>
              <w:right w:type="dxa" w:w="120"/>
            </w:tcMar>
          </w:tcPr>
          <w:p>
            <w:r>
              <w:rPr>
                <w:rFonts w:ascii="Arial" w:cs="Arial" w:eastAsia="Arial" w:hAnsi="Arial"/>
                <w:b w:val="false"/>
                <w:bCs w:val="false"/>
                <w:color w:val="222222"/>
                <w:sz w:val="20"/>
                <w:szCs w:val="20"/>
              </w:rPr>
              <w:t xml:space="preserve">How long does the Auditor have to fulfill an access request?</w:t>
            </w:r>
          </w:p>
        </w:tc>
        <w:tc>
          <w:tcPr>
            <w:tcW w:type="dxa" w:w="3300"/>
            <w:tcMar>
              <w:top w:type="dxa" w:w="100"/>
              <w:left w:type="dxa" w:w="120"/>
              <w:bottom w:type="dxa" w:w="100"/>
              <w:right w:type="dxa" w:w="120"/>
            </w:tcMar>
          </w:tcPr>
          <w:p>
            <w:r>
              <w:rPr>
                <w:rFonts w:ascii="Arial" w:cs="Arial" w:eastAsia="Arial" w:hAnsi="Arial"/>
                <w:b w:val="false"/>
                <w:bCs w:val="false"/>
                <w:color w:val="222222"/>
                <w:sz w:val="20"/>
                <w:szCs w:val="20"/>
              </w:rPr>
              <w:t xml:space="preserve">Within five (5) business days, unless otherwise agreed in writing.</w:t>
            </w:r>
          </w:p>
        </w:tc>
        <w:tc>
          <w:tcPr>
            <w:tcW w:type="dxa" w:w="1500"/>
            <w:tcMar>
              <w:top w:type="dxa" w:w="100"/>
              <w:left w:type="dxa" w:w="120"/>
              <w:bottom w:type="dxa" w:w="100"/>
              <w:right w:type="dxa" w:w="120"/>
            </w:tcMar>
          </w:tcPr>
          <w:p>
            <w:r>
              <w:rPr>
                <w:rFonts w:ascii="Arial" w:cs="Arial" w:eastAsia="Arial" w:hAnsi="Arial"/>
                <w:b w:val="false"/>
                <w:bCs w:val="false"/>
                <w:color w:val="222222"/>
                <w:sz w:val="20"/>
                <w:szCs w:val="20"/>
              </w:rPr>
              <w:t xml:space="preserve">Section 2</w:t>
            </w:r>
          </w:p>
        </w:tc>
      </w:tr>
      <w:tr>
        <w:tc>
          <w:tcPr>
            <w:tcW w:type="dxa" w:w="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2</w:t>
            </w:r>
          </w:p>
        </w:tc>
        <w:tc>
          <w:tcPr>
            <w:tcW w:type="dxa" w:w="32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When do critical findings need to be escalated?</w:t>
            </w:r>
          </w:p>
        </w:tc>
        <w:tc>
          <w:tcPr>
            <w:tcW w:type="dxa" w:w="33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Within 48 hours of identification.</w:t>
            </w:r>
          </w:p>
        </w:tc>
        <w:tc>
          <w:tcPr>
            <w:tcW w:type="dxa" w:w="1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Section 4(b)</w:t>
            </w:r>
          </w:p>
        </w:tc>
      </w:tr>
      <w:tr>
        <w:tc>
          <w:tcPr>
            <w:tcW w:type="dxa" w:w="500"/>
            <w:tcMar>
              <w:top w:type="dxa" w:w="100"/>
              <w:left w:type="dxa" w:w="120"/>
              <w:bottom w:type="dxa" w:w="100"/>
              <w:right w:type="dxa" w:w="120"/>
            </w:tcMar>
          </w:tcPr>
          <w:p>
            <w:r>
              <w:rPr>
                <w:rFonts w:ascii="Arial" w:cs="Arial" w:eastAsia="Arial" w:hAnsi="Arial"/>
                <w:b w:val="false"/>
                <w:bCs w:val="false"/>
                <w:color w:val="222222"/>
                <w:sz w:val="20"/>
                <w:szCs w:val="20"/>
              </w:rPr>
              <w:t xml:space="preserve">3</w:t>
            </w:r>
          </w:p>
        </w:tc>
        <w:tc>
          <w:tcPr>
            <w:tcW w:type="dxa" w:w="3200"/>
            <w:tcMar>
              <w:top w:type="dxa" w:w="100"/>
              <w:left w:type="dxa" w:w="120"/>
              <w:bottom w:type="dxa" w:w="100"/>
              <w:right w:type="dxa" w:w="120"/>
            </w:tcMar>
          </w:tcPr>
          <w:p>
            <w:r>
              <w:rPr>
                <w:rFonts w:ascii="Arial" w:cs="Arial" w:eastAsia="Arial" w:hAnsi="Arial"/>
                <w:b w:val="false"/>
                <w:bCs w:val="false"/>
                <w:color w:val="222222"/>
                <w:sz w:val="20"/>
                <w:szCs w:val="20"/>
              </w:rPr>
              <w:t xml:space="preserve">How many days for a Corrective Action Plan?</w:t>
            </w:r>
          </w:p>
        </w:tc>
        <w:tc>
          <w:tcPr>
            <w:tcW w:type="dxa" w:w="3300"/>
            <w:tcMar>
              <w:top w:type="dxa" w:w="100"/>
              <w:left w:type="dxa" w:w="120"/>
              <w:bottom w:type="dxa" w:w="100"/>
              <w:right w:type="dxa" w:w="120"/>
            </w:tcMar>
          </w:tcPr>
          <w:p>
            <w:r>
              <w:rPr>
                <w:rFonts w:ascii="Arial" w:cs="Arial" w:eastAsia="Arial" w:hAnsi="Arial"/>
                <w:b w:val="false"/>
                <w:bCs w:val="false"/>
                <w:color w:val="222222"/>
                <w:sz w:val="20"/>
                <w:szCs w:val="20"/>
              </w:rPr>
              <w:t xml:space="preserve">Within 10 business days of report issuance.</w:t>
            </w:r>
          </w:p>
        </w:tc>
        <w:tc>
          <w:tcPr>
            <w:tcW w:type="dxa" w:w="1500"/>
            <w:tcMar>
              <w:top w:type="dxa" w:w="100"/>
              <w:left w:type="dxa" w:w="120"/>
              <w:bottom w:type="dxa" w:w="100"/>
              <w:right w:type="dxa" w:w="120"/>
            </w:tcMar>
          </w:tcPr>
          <w:p>
            <w:r>
              <w:rPr>
                <w:rFonts w:ascii="Arial" w:cs="Arial" w:eastAsia="Arial" w:hAnsi="Arial"/>
                <w:b w:val="false"/>
                <w:bCs w:val="false"/>
                <w:color w:val="222222"/>
                <w:sz w:val="20"/>
                <w:szCs w:val="20"/>
              </w:rPr>
              <w:t xml:space="preserve">Section 4(c)</w:t>
            </w:r>
          </w:p>
        </w:tc>
      </w:tr>
      <w:tr>
        <w:tc>
          <w:tcPr>
            <w:tcW w:type="dxa" w:w="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4</w:t>
            </w:r>
          </w:p>
        </w:tc>
        <w:tc>
          <w:tcPr>
            <w:tcW w:type="dxa" w:w="32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Termination notice period without cause?</w:t>
            </w:r>
          </w:p>
        </w:tc>
        <w:tc>
          <w:tcPr>
            <w:tcW w:type="dxa" w:w="33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Ninety (90) calendar days' written notice.</w:t>
            </w:r>
          </w:p>
        </w:tc>
        <w:tc>
          <w:tcPr>
            <w:tcW w:type="dxa" w:w="1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Section 5(d)</w:t>
            </w:r>
          </w:p>
        </w:tc>
      </w:tr>
      <w:tr>
        <w:tc>
          <w:tcPr>
            <w:tcW w:type="dxa" w:w="500"/>
            <w:tcMar>
              <w:top w:type="dxa" w:w="100"/>
              <w:left w:type="dxa" w:w="120"/>
              <w:bottom w:type="dxa" w:w="100"/>
              <w:right w:type="dxa" w:w="120"/>
            </w:tcMar>
          </w:tcPr>
          <w:p>
            <w:r>
              <w:rPr>
                <w:rFonts w:ascii="Arial" w:cs="Arial" w:eastAsia="Arial" w:hAnsi="Arial"/>
                <w:b w:val="false"/>
                <w:bCs w:val="false"/>
                <w:color w:val="222222"/>
                <w:sz w:val="20"/>
                <w:szCs w:val="20"/>
              </w:rPr>
              <w:t xml:space="preserve">5</w:t>
            </w:r>
          </w:p>
        </w:tc>
        <w:tc>
          <w:tcPr>
            <w:tcW w:type="dxa" w:w="3200"/>
            <w:tcMar>
              <w:top w:type="dxa" w:w="100"/>
              <w:left w:type="dxa" w:w="120"/>
              <w:bottom w:type="dxa" w:w="100"/>
              <w:right w:type="dxa" w:w="120"/>
            </w:tcMar>
          </w:tcPr>
          <w:p>
            <w:r>
              <w:rPr>
                <w:rFonts w:ascii="Arial" w:cs="Arial" w:eastAsia="Arial" w:hAnsi="Arial"/>
                <w:b w:val="false"/>
                <w:bCs w:val="false"/>
                <w:color w:val="222222"/>
                <w:sz w:val="20"/>
                <w:szCs w:val="20"/>
              </w:rPr>
              <w:t xml:space="preserve">What happens to workpapers after termination?</w:t>
            </w:r>
          </w:p>
        </w:tc>
        <w:tc>
          <w:tcPr>
            <w:tcW w:type="dxa" w:w="3300"/>
            <w:tcMar>
              <w:top w:type="dxa" w:w="100"/>
              <w:left w:type="dxa" w:w="120"/>
              <w:bottom w:type="dxa" w:w="100"/>
              <w:right w:type="dxa" w:w="120"/>
            </w:tcMar>
          </w:tcPr>
          <w:p>
            <w:r>
              <w:rPr>
                <w:rFonts w:ascii="Arial" w:cs="Arial" w:eastAsia="Arial" w:hAnsi="Arial"/>
                <w:b w:val="false"/>
                <w:bCs w:val="false"/>
                <w:color w:val="222222"/>
                <w:sz w:val="20"/>
                <w:szCs w:val="20"/>
              </w:rPr>
              <w:t xml:space="preserve">Returned or securely destroyed within 30 days.</w:t>
            </w:r>
          </w:p>
        </w:tc>
        <w:tc>
          <w:tcPr>
            <w:tcW w:type="dxa" w:w="1500"/>
            <w:tcMar>
              <w:top w:type="dxa" w:w="100"/>
              <w:left w:type="dxa" w:w="120"/>
              <w:bottom w:type="dxa" w:w="100"/>
              <w:right w:type="dxa" w:w="120"/>
            </w:tcMar>
          </w:tcPr>
          <w:p>
            <w:r>
              <w:rPr>
                <w:rFonts w:ascii="Arial" w:cs="Arial" w:eastAsia="Arial" w:hAnsi="Arial"/>
                <w:b w:val="false"/>
                <w:bCs w:val="false"/>
                <w:color w:val="222222"/>
                <w:sz w:val="20"/>
                <w:szCs w:val="20"/>
              </w:rPr>
              <w:t xml:space="preserve">Section 5(f)</w:t>
            </w:r>
          </w:p>
        </w:tc>
      </w:tr>
      <w:tr>
        <w:tc>
          <w:tcPr>
            <w:tcW w:type="dxa" w:w="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6</w:t>
            </w:r>
          </w:p>
        </w:tc>
        <w:tc>
          <w:tcPr>
            <w:tcW w:type="dxa" w:w="32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Which state's laws govern this agreement?</w:t>
            </w:r>
          </w:p>
        </w:tc>
        <w:tc>
          <w:tcPr>
            <w:tcW w:type="dxa" w:w="33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State of Delaware; venue in Wilmington, Delaware.</w:t>
            </w:r>
          </w:p>
        </w:tc>
        <w:tc>
          <w:tcPr>
            <w:tcW w:type="dxa" w:w="1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Section 5(g)</w:t>
            </w:r>
          </w:p>
        </w:tc>
      </w:tr>
    </w:tbl>
    <w:p>
      <w:pPr>
        <w:pStyle w:val="Heading2"/>
        <w:spacing w:after="120" w:before="280"/>
      </w:pPr>
      <w:r>
        <w:t xml:space="preserve">5.2 Table &amp; list retrieval tests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300"/>
        <w:gridCol w:w="1500"/>
      </w:tblGrid>
      <w:tr>
        <w:trPr>
          <w:tblHeader/>
        </w:trPr>
        <w:tc>
          <w:tcPr>
            <w:tcW w:type="dxa" w:w="500"/>
            <w:shd w:fill="13293D"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shd w:fill="13293D"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3300"/>
            <w:shd w:fill="13293D" w:val="clear"/>
            <w:tcMar>
              <w:top w:type="dxa" w:w="100"/>
              <w:left w:type="dxa" w:w="120"/>
              <w:bottom w:type="dxa" w:w="100"/>
              <w:right w:type="dxa" w:w="120"/>
            </w:tcMar>
          </w:tcPr>
          <w:p>
            <w:r>
              <w:rPr>
                <w:rFonts w:ascii="Arial" w:cs="Arial" w:eastAsia="Arial" w:hAnsi="Arial"/>
                <w:b/>
                <w:bCs/>
                <w:color w:val="FFFFFF"/>
                <w:sz w:val="20"/>
                <w:szCs w:val="20"/>
              </w:rPr>
              <w:t xml:space="preserve">Expected answer</w:t>
            </w:r>
          </w:p>
        </w:tc>
        <w:tc>
          <w:tcPr>
            <w:tcW w:type="dxa" w:w="1500"/>
            <w:shd w:fill="13293D" w:val="clear"/>
            <w:tcMar>
              <w:top w:type="dxa" w:w="100"/>
              <w:left w:type="dxa" w:w="120"/>
              <w:bottom w:type="dxa" w:w="100"/>
              <w:right w:type="dxa" w:w="120"/>
            </w:tcMar>
          </w:tcPr>
          <w:p>
            <w:r>
              <w:rPr>
                <w:rFonts w:ascii="Arial" w:cs="Arial" w:eastAsia="Arial" w:hAnsi="Arial"/>
                <w:b/>
                <w:bCs/>
                <w:color w:val="FFFFFF"/>
                <w:sz w:val="20"/>
                <w:szCs w:val="20"/>
              </w:rPr>
              <w:t xml:space="preserve">Source</w:t>
            </w:r>
          </w:p>
        </w:tc>
      </w:tr>
      <w:tr>
        <w:tc>
          <w:tcPr>
            <w:tcW w:type="dxa" w:w="500"/>
            <w:tcMar>
              <w:top w:type="dxa" w:w="100"/>
              <w:left w:type="dxa" w:w="120"/>
              <w:bottom w:type="dxa" w:w="100"/>
              <w:right w:type="dxa" w:w="120"/>
            </w:tcMar>
          </w:tcPr>
          <w:p>
            <w:r>
              <w:rPr>
                <w:rFonts w:ascii="Arial" w:cs="Arial" w:eastAsia="Arial" w:hAnsi="Arial"/>
                <w:b w:val="false"/>
                <w:bCs w:val="false"/>
                <w:color w:val="222222"/>
                <w:sz w:val="20"/>
                <w:szCs w:val="20"/>
              </w:rPr>
              <w:t xml:space="preserve">7</w:t>
            </w:r>
          </w:p>
        </w:tc>
        <w:tc>
          <w:tcPr>
            <w:tcW w:type="dxa" w:w="3200"/>
            <w:tcMar>
              <w:top w:type="dxa" w:w="100"/>
              <w:left w:type="dxa" w:w="120"/>
              <w:bottom w:type="dxa" w:w="100"/>
              <w:right w:type="dxa" w:w="120"/>
            </w:tcMar>
          </w:tcPr>
          <w:p>
            <w:r>
              <w:rPr>
                <w:rFonts w:ascii="Arial" w:cs="Arial" w:eastAsia="Arial" w:hAnsi="Arial"/>
                <w:b w:val="false"/>
                <w:bCs w:val="false"/>
                <w:color w:val="222222"/>
                <w:sz w:val="20"/>
                <w:szCs w:val="20"/>
              </w:rPr>
              <w:t xml:space="preserve">Financial approval controls — frequency and fee?</w:t>
            </w:r>
          </w:p>
        </w:tc>
        <w:tc>
          <w:tcPr>
            <w:tcW w:type="dxa" w:w="3300"/>
            <w:tcMar>
              <w:top w:type="dxa" w:w="100"/>
              <w:left w:type="dxa" w:w="120"/>
              <w:bottom w:type="dxa" w:w="100"/>
              <w:right w:type="dxa" w:w="120"/>
            </w:tcMar>
          </w:tcPr>
          <w:p>
            <w:r>
              <w:rPr>
                <w:rFonts w:ascii="Arial" w:cs="Arial" w:eastAsia="Arial" w:hAnsi="Arial"/>
                <w:b w:val="false"/>
                <w:bCs w:val="false"/>
                <w:color w:val="222222"/>
                <w:sz w:val="20"/>
                <w:szCs w:val="20"/>
              </w:rPr>
              <w:t xml:space="preserve">Quarterly, $12,000.</w:t>
            </w:r>
          </w:p>
        </w:tc>
        <w:tc>
          <w:tcPr>
            <w:tcW w:type="dxa" w:w="1500"/>
            <w:tcMar>
              <w:top w:type="dxa" w:w="100"/>
              <w:left w:type="dxa" w:w="120"/>
              <w:bottom w:type="dxa" w:w="100"/>
              <w:right w:type="dxa" w:w="120"/>
            </w:tcMar>
          </w:tcPr>
          <w:p>
            <w:r>
              <w:rPr>
                <w:rFonts w:ascii="Arial" w:cs="Arial" w:eastAsia="Arial" w:hAnsi="Arial"/>
                <w:b w:val="false"/>
                <w:bCs w:val="false"/>
                <w:color w:val="222222"/>
                <w:sz w:val="20"/>
                <w:szCs w:val="20"/>
              </w:rPr>
              <w:t xml:space="preserve">Exhibit A table</w:t>
            </w:r>
          </w:p>
        </w:tc>
      </w:tr>
      <w:tr>
        <w:tc>
          <w:tcPr>
            <w:tcW w:type="dxa" w:w="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8</w:t>
            </w:r>
          </w:p>
        </w:tc>
        <w:tc>
          <w:tcPr>
            <w:tcW w:type="dxa" w:w="32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What are the audit deliverables?</w:t>
            </w:r>
          </w:p>
        </w:tc>
        <w:tc>
          <w:tcPr>
            <w:tcW w:type="dxa" w:w="33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Quarterly testing summary, Annual Findings Report, ad hoc Critical Finding notices.</w:t>
            </w:r>
          </w:p>
        </w:tc>
        <w:tc>
          <w:tcPr>
            <w:tcW w:type="dxa" w:w="1500"/>
            <w:shd w:fill="F4F5F3" w:val="clear"/>
            <w:tcMar>
              <w:top w:type="dxa" w:w="100"/>
              <w:left w:type="dxa" w:w="120"/>
              <w:bottom w:type="dxa" w:w="100"/>
              <w:right w:type="dxa" w:w="120"/>
            </w:tcMar>
          </w:tcPr>
          <w:p>
            <w:r>
              <w:rPr>
                <w:rFonts w:ascii="Arial" w:cs="Arial" w:eastAsia="Arial" w:hAnsi="Arial"/>
                <w:b w:val="false"/>
                <w:bCs w:val="false"/>
                <w:color w:val="222222"/>
                <w:sz w:val="20"/>
                <w:szCs w:val="20"/>
              </w:rPr>
              <w:t xml:space="preserve">Deliverables list</w:t>
            </w:r>
          </w:p>
        </w:tc>
      </w:tr>
    </w:tbl>
    <w:p>
      <w:pPr>
        <w:spacing w:after="160" w:line="300"/>
      </w:pPr>
      <w:r>
        <w:rPr>
          <w:rFonts w:ascii="Arial" w:cs="Arial" w:eastAsia="Arial" w:hAnsi="Arial"/>
          <w:color w:val="222222"/>
          <w:sz w:val="22"/>
          <w:szCs w:val="22"/>
        </w:rPr>
        <w:t xml:space="preserve">If either test returns missing or garbled figures, the table/list content is not surviving chunking cleanly — adjust chunk size or the Parser mode rather than the prompt.</w:t>
      </w:r>
    </w:p>
    <w:p>
      <w:pPr>
        <w:pStyle w:val="Heading2"/>
        <w:spacing w:after="120" w:before="280"/>
      </w:pPr>
      <w:r>
        <w:t xml:space="preserve">5.3 Out-of-scope / guardrail tests</w:t>
      </w:r>
    </w:p>
    <w:p>
      <w:pPr>
        <w:spacing w:after="160" w:line="300"/>
      </w:pPr>
      <w:r>
        <w:rPr>
          <w:rFonts w:ascii="Arial" w:cs="Arial" w:eastAsia="Arial" w:hAnsi="Arial"/>
          <w:color w:val="222222"/>
          <w:sz w:val="22"/>
          <w:szCs w:val="22"/>
        </w:rPr>
        <w:t xml:space="preserve">These questions sound plausible for an audit services agreement but are not addressed in the source document. Each must return the exact refusal string, not an invented answer.</w:t>
      </w:r>
    </w:p>
    <w:p>
      <w:pPr>
        <w:pStyle w:val="ListParagraph"/>
        <w:numPr>
          <w:ilvl w:val="0"/>
          <w:numId w:val="1"/>
        </w:numPr>
        <w:spacing w:after="80" w:line="280"/>
      </w:pPr>
      <w:r>
        <w:rPr>
          <w:rFonts w:ascii="Arial" w:cs="Arial" w:eastAsia="Arial" w:hAnsi="Arial"/>
          <w:color w:val="222222"/>
          <w:sz w:val="22"/>
          <w:szCs w:val="22"/>
        </w:rPr>
        <w:t xml:space="preserve">What is the auditor's liability cap for data breaches?</w:t>
      </w:r>
    </w:p>
    <w:p>
      <w:pPr>
        <w:pStyle w:val="ListParagraph"/>
        <w:numPr>
          <w:ilvl w:val="0"/>
          <w:numId w:val="1"/>
        </w:numPr>
        <w:spacing w:after="80" w:line="280"/>
      </w:pPr>
      <w:r>
        <w:rPr>
          <w:rFonts w:ascii="Arial" w:cs="Arial" w:eastAsia="Arial" w:hAnsi="Arial"/>
          <w:color w:val="222222"/>
          <w:sz w:val="22"/>
          <w:szCs w:val="22"/>
        </w:rPr>
        <w:t xml:space="preserve">What is the minimum required cyber-insurance coverage for the Auditor?</w:t>
      </w:r>
    </w:p>
    <w:p>
      <w:pPr>
        <w:pStyle w:val="ListParagraph"/>
        <w:numPr>
          <w:ilvl w:val="0"/>
          <w:numId w:val="1"/>
        </w:numPr>
        <w:spacing w:after="80" w:line="280"/>
      </w:pPr>
      <w:r>
        <w:rPr>
          <w:rFonts w:ascii="Arial" w:cs="Arial" w:eastAsia="Arial" w:hAnsi="Arial"/>
          <w:color w:val="222222"/>
          <w:sz w:val="22"/>
          <w:szCs w:val="22"/>
        </w:rPr>
        <w:t xml:space="preserve">Can the Company assign this agreement to a third party without consent?</w:t>
      </w:r>
    </w:p>
    <w:p>
      <w:pPr>
        <w:pStyle w:val="ListParagraph"/>
        <w:numPr>
          <w:ilvl w:val="0"/>
          <w:numId w:val="1"/>
        </w:numPr>
        <w:spacing w:after="80" w:line="280"/>
      </w:pPr>
      <w:r>
        <w:rPr>
          <w:rFonts w:ascii="Arial" w:cs="Arial" w:eastAsia="Arial" w:hAnsi="Arial"/>
          <w:color w:val="222222"/>
          <w:sz w:val="22"/>
          <w:szCs w:val="22"/>
        </w:rPr>
        <w:t xml:space="preserve">What dispute resolution or arbitration process applies if the Parties disagree?</w:t>
      </w:r>
    </w:p>
    <w:p>
      <w:pPr>
        <w:pStyle w:val="ListParagraph"/>
        <w:numPr>
          <w:ilvl w:val="0"/>
          <w:numId w:val="1"/>
        </w:numPr>
        <w:spacing w:after="80" w:line="280"/>
      </w:pPr>
      <w:r>
        <w:rPr>
          <w:rFonts w:ascii="Arial" w:cs="Arial" w:eastAsia="Arial" w:hAnsi="Arial"/>
          <w:color w:val="222222"/>
          <w:sz w:val="22"/>
          <w:szCs w:val="22"/>
        </w:rPr>
        <w:t xml:space="preserve">What is the Auditor's obligation if a control test reveals evidence of fraud?</w:t>
      </w:r>
    </w:p>
    <w:p>
      <w:pPr>
        <w:spacing w:after="160" w:line="300"/>
      </w:pPr>
      <w:r>
        <w:rPr>
          <w:rFonts w:ascii="Arial" w:cs="Arial" w:eastAsia="Arial" w:hAnsi="Arial"/>
          <w:color w:val="222222"/>
          <w:sz w:val="22"/>
          <w:szCs w:val="22"/>
        </w:rPr>
        <w:t xml:space="preserve">A confident-sounding answer to any of these indicates the Stop condition in the prompt is not holding and needs to be tightened.</w:t>
      </w:r>
    </w:p>
    <w:p>
      <w:pPr>
        <w:pStyle w:val="Heading2"/>
        <w:spacing w:after="120" w:before="280"/>
      </w:pPr>
      <w:r>
        <w:t xml:space="preserve">5.4 Generic / ambiguous query test</w:t>
      </w:r>
    </w:p>
    <w:p>
      <w:pPr>
        <w:spacing w:after="160" w:line="300"/>
      </w:pPr>
      <w:r>
        <w:rPr>
          <w:rFonts w:ascii="Arial" w:cs="Arial" w:eastAsia="Arial" w:hAnsi="Arial"/>
          <w:color w:val="222222"/>
          <w:sz w:val="22"/>
          <w:szCs w:val="22"/>
        </w:rPr>
        <w:t xml:space="preserve">Vague, unfocused questions test a different failure mode — whether the system forces an answer out of loosely related chunks instead of declining:</w:t>
      </w:r>
    </w:p>
    <w:p>
      <w:pPr>
        <w:pStyle w:val="ListParagraph"/>
        <w:numPr>
          <w:ilvl w:val="0"/>
          <w:numId w:val="1"/>
        </w:numPr>
        <w:spacing w:after="80" w:line="280"/>
      </w:pPr>
      <w:r>
        <w:rPr>
          <w:rFonts w:ascii="Arial" w:cs="Arial" w:eastAsia="Arial" w:hAnsi="Arial"/>
          <w:color w:val="222222"/>
          <w:sz w:val="22"/>
          <w:szCs w:val="22"/>
        </w:rPr>
        <w:t xml:space="preserve">“I'm not sure what this document covers — can you give me an overview?”</w:t>
      </w:r>
    </w:p>
    <w:p>
      <w:pPr>
        <w:pStyle w:val="ListParagraph"/>
        <w:numPr>
          <w:ilvl w:val="0"/>
          <w:numId w:val="1"/>
        </w:numPr>
        <w:spacing w:after="80" w:line="280"/>
      </w:pPr>
      <w:r>
        <w:rPr>
          <w:rFonts w:ascii="Arial" w:cs="Arial" w:eastAsia="Arial" w:hAnsi="Arial"/>
          <w:color w:val="222222"/>
          <w:sz w:val="22"/>
          <w:szCs w:val="22"/>
        </w:rPr>
        <w:t xml:space="preserve">“I don't know what to ask — what can you help me with?”</w:t>
      </w:r>
    </w:p>
    <w:p>
      <w:r>
        <w:br w:type="page"/>
      </w:r>
    </w:p>
    <w:p>
      <w:pPr>
        <w:pStyle w:val="Heading1"/>
        <w:spacing w:after="160" w:before="360"/>
      </w:pPr>
      <w:r>
        <w:t xml:space="preserve">6. Known issues &amp; troubleshooting</w:t>
      </w:r>
    </w:p>
    <w:p>
      <w:pPr>
        <w:pStyle w:val="Heading2"/>
        <w:spacing w:after="120" w:before="280"/>
      </w:pPr>
      <w:r>
        <w:t xml:space="preserve">6.1 Empty Search Query / user_input fields</w:t>
      </w:r>
    </w:p>
    <w:p>
      <w:pPr>
        <w:spacing w:after="160" w:line="300"/>
      </w:pPr>
      <w:r>
        <w:rPr>
          <w:rFonts w:ascii="Arial" w:cs="Arial" w:eastAsia="Arial" w:hAnsi="Arial"/>
          <w:color w:val="222222"/>
          <w:sz w:val="22"/>
          <w:szCs w:val="22"/>
        </w:rPr>
        <w:t xml:space="preserve">Symptom: blank or nonsensical answers with no error. Cause: Chat Input not wired to both the Astra DB Search Query field and the Prompt's user_input field. Fix: connect Chat Input's output to both destinations — one output can feed multiple inputs in Langflow.</w:t>
      </w:r>
    </w:p>
    <w:p>
      <w:pPr>
        <w:pStyle w:val="Heading2"/>
        <w:spacing w:after="120" w:before="280"/>
      </w:pPr>
      <w:r>
        <w:t xml:space="preserve">6.2 Embedding model mismatch</w:t>
      </w:r>
    </w:p>
    <w:p>
      <w:pPr>
        <w:spacing w:after="160" w:line="300"/>
      </w:pPr>
      <w:r>
        <w:rPr>
          <w:rFonts w:ascii="Arial" w:cs="Arial" w:eastAsia="Arial" w:hAnsi="Arial"/>
          <w:color w:val="222222"/>
          <w:sz w:val="22"/>
          <w:szCs w:val="22"/>
        </w:rPr>
        <w:t xml:space="preserve">Symptom: search returns zero or irrelevant results with no error. Cause: the embedding model used at query time does not match the model used at ingest time (e.g. ada-002 vs. text-embedding-3-small), or the collection name differs between flows. Fix: confirm both flows use the identical model name and the identical collection name.</w:t>
      </w:r>
    </w:p>
    <w:p>
      <w:pPr>
        <w:pStyle w:val="Heading2"/>
        <w:spacing w:after="120" w:before="280"/>
      </w:pPr>
      <w:r>
        <w:t xml:space="preserve">6.3 Parser “Data objects not supported” error</w:t>
      </w:r>
    </w:p>
    <w:p>
      <w:pPr>
        <w:spacing w:after="160" w:line="300"/>
      </w:pPr>
      <w:r>
        <w:rPr>
          <w:rFonts w:ascii="Arial" w:cs="Arial" w:eastAsia="Arial" w:hAnsi="Arial"/>
          <w:color w:val="222222"/>
          <w:sz w:val="22"/>
          <w:szCs w:val="22"/>
        </w:rPr>
        <w:t xml:space="preserve">Symptom: Parser fails to run. Cause: a type mismatch between what Astra DB's Search output emits (a list of Data objects) and what Parser is configured to accept. Fix: confirm Parser's Mode is set correctly (Stringify handles a list; Parser mode expects a single Data/DataFrame), or insert a Data-to-DataFrame conversion step between Astra DB and Parser.</w:t>
      </w:r>
    </w:p>
    <w:p>
      <w:pPr>
        <w:pStyle w:val="Heading2"/>
        <w:spacing w:after="120" w:before="280"/>
      </w:pPr>
      <w:r>
        <w:t xml:space="preserve">6.4 “Failed to save flow” error</w:t>
      </w:r>
    </w:p>
    <w:p>
      <w:pPr>
        <w:spacing w:after="160" w:line="300"/>
      </w:pPr>
      <w:r>
        <w:rPr>
          <w:rFonts w:ascii="Arial" w:cs="Arial" w:eastAsia="Arial" w:hAnsi="Arial"/>
          <w:color w:val="222222"/>
          <w:sz w:val="22"/>
          <w:szCs w:val="22"/>
        </w:rPr>
        <w:t xml:space="preserve">Most common cause: a required field (e.g. Search Query, user_input, or Embedding Model) is left empty with no wire feeding it, and Langflow's save-time validation rejects the flow. Also check for: session/connection timeouts (retry save), duplicate or invalid flow names, and expired browser sessions on hosted instances.</w:t>
      </w:r>
    </w:p>
    <w:p>
      <w:pPr>
        <w:pStyle w:val="Heading2"/>
        <w:spacing w:after="120" w:before="280"/>
      </w:pPr>
      <w:r>
        <w:t xml:space="preserve">6.5 Astra DB free-tier cold start</w:t>
      </w:r>
    </w:p>
    <w:p>
      <w:pPr>
        <w:spacing w:after="160" w:line="300"/>
      </w:pPr>
      <w:r>
        <w:rPr>
          <w:rFonts w:ascii="Arial" w:cs="Arial" w:eastAsia="Arial" w:hAnsi="Arial"/>
          <w:color w:val="222222"/>
          <w:sz w:val="22"/>
          <w:szCs w:val="22"/>
        </w:rPr>
        <w:t xml:space="preserve">Free-tier Astra databases go idle after inactivity and take roughly 1–2 minutes to wake on the first query. Before a live demo, send a throwaway query a few minutes ahead of time to warm the database.</w:t>
      </w:r>
    </w:p>
    <w:p>
      <w:pPr>
        <w:pStyle w:val="Heading1"/>
        <w:spacing w:after="160" w:before="360"/>
      </w:pPr>
      <w:r>
        <w:t xml:space="preserve">7. Appendix</w:t>
      </w:r>
    </w:p>
    <w:p>
      <w:pPr>
        <w:pStyle w:val="Heading2"/>
        <w:spacing w:after="120" w:before="280"/>
      </w:pPr>
      <w:r>
        <w:t xml:space="preserve">7.1 Embedding dimensions</w:t>
      </w:r>
    </w:p>
    <w:p>
      <w:pPr>
        <w:spacing w:after="160" w:line="300"/>
      </w:pPr>
      <w:r>
        <w:rPr>
          <w:rFonts w:ascii="Arial" w:cs="Arial" w:eastAsia="Arial" w:hAnsi="Arial"/>
          <w:color w:val="222222"/>
          <w:sz w:val="22"/>
          <w:szCs w:val="22"/>
        </w:rPr>
        <w:t xml:space="preserve">text-embedding-ada-002 and text-embedding-3-small both output 1536-dimension vectors, but they are not interchangeable — vectors from different models are not comparable, even at the same dimension count. The Astra DB collection's vector dimension must be set to match whichever model is actually used, and that model must remain consistent across ingest and retrieval.</w:t>
      </w:r>
    </w:p>
    <w:p>
      <w:pPr>
        <w:pStyle w:val="Heading2"/>
        <w:spacing w:after="120" w:before="280"/>
      </w:pPr>
      <w:r>
        <w:t xml:space="preserve">7.2 Collection naming</w:t>
      </w:r>
    </w:p>
    <w:p>
      <w:pPr>
        <w:spacing w:after="160" w:line="300"/>
      </w:pPr>
      <w:r>
        <w:rPr>
          <w:rFonts w:ascii="Arial" w:cs="Arial" w:eastAsia="Arial" w:hAnsi="Arial"/>
          <w:color w:val="222222"/>
          <w:sz w:val="22"/>
          <w:szCs w:val="22"/>
        </w:rPr>
        <w:t xml:space="preserve">Collections are scoped per client (e.g. iplprocessgenius) to keep retrieval isolated — a production deployment should never allow retrieval to span multiple clients' collections in a single query, both for data isolation and for citation accuracy.</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ProcessGenius AI — RAG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3293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6B5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2026-08-01T07:34:41.393Z</dcterms:created>
  <dcterms:modified xsi:type="dcterms:W3CDTF">2026-08-01T07:34:41.394Z</dcterms:modified>
</cp:coreProperties>
</file>

<file path=docProps/custom.xml><?xml version="1.0" encoding="utf-8"?>
<Properties xmlns="http://schemas.openxmlformats.org/officeDocument/2006/custom-properties" xmlns:vt="http://schemas.openxmlformats.org/officeDocument/2006/docPropsVTypes"/>
</file>