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0"/>
          <w:szCs w:val="30"/>
        </w:rPr>
        <w:t xml:space="preserve">ProcessGenius AI — Ethical Oversight Plan</w:t>
      </w:r>
    </w:p>
    <w:p>
      <w:pPr>
        <w:spacing w:after="100"/>
      </w:pPr>
      <w:r>
        <w:rPr>
          <w:i/>
          <w:iCs/>
          <w:color w:val="595959"/>
          <w:sz w:val="15"/>
          <w:szCs w:val="15"/>
        </w:rPr>
        <w:t xml:space="preserve">Axiom Solutions | Guardrail Application &amp; Responsible-AI Governance | Applies to Pilot and All Scale Phases</w:t>
      </w:r>
    </w:p>
    <w:p>
      <w:pPr>
        <w:pBdr>
          <w:bottom w:val="single" w:color="2E74B5" w:sz="6" w:space="2"/>
        </w:pBdr>
        <w:spacing w:after="40" w:before="130"/>
      </w:pPr>
      <w:r>
        <w:rPr>
          <w:b/>
          <w:bCs/>
          <w:caps/>
          <w:color w:val="1F3864"/>
          <w:sz w:val="18"/>
          <w:szCs w:val="18"/>
        </w:rPr>
        <w:t xml:space="preserve">Purpose</w:t>
      </w:r>
    </w:p>
    <w:p>
      <w:pPr>
        <w:spacing w:after="60"/>
      </w:pPr>
      <w:r>
        <w:rPr>
          <w:color w:val="262626"/>
          <w:sz w:val="15"/>
          <w:szCs w:val="15"/>
        </w:rPr>
        <w:t xml:space="preserve">Ensure ProcessGenius AI never operates as an unchecked authority on regulatory interpretation. Oversight is designed so accuracy, human control, and auditability are structurally enforced — not dependent on individual judgment alone.</w:t>
      </w:r>
    </w:p>
    <w:p>
      <w:pPr>
        <w:pBdr>
          <w:bottom w:val="single" w:color="2E74B5" w:sz="6" w:space="2"/>
        </w:pBdr>
        <w:spacing w:after="40" w:before="130"/>
      </w:pPr>
      <w:r>
        <w:rPr>
          <w:b/>
          <w:bCs/>
          <w:caps/>
          <w:color w:val="1F3864"/>
          <w:sz w:val="18"/>
          <w:szCs w:val="18"/>
        </w:rPr>
        <w:t xml:space="preserve">Governance Structure</w:t>
      </w:r>
    </w:p>
    <w:p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 xml:space="preserve">Responsible AI Review Board — Head of Consulting, Compliance Lead, senior BA, client compliance representative (rotating); meets bi-weekly during pilot, monthly at scale.</w:t>
      </w:r>
    </w:p>
    <w:p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 xml:space="preserve">Compliance Lead holds veto authority over any release, feature, or client rollout that touches guardrail metrics.</w:t>
      </w:r>
    </w:p>
    <w:p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 xml:space="preserve">Named human approver of record required on every client-facing document — no anonymous or shared sign-off.</w:t>
      </w:r>
    </w:p>
    <w:p>
      <w:pPr>
        <w:pBdr>
          <w:bottom w:val="single" w:color="2E74B5" w:sz="6" w:space="2"/>
        </w:pBdr>
        <w:spacing w:after="40" w:before="130"/>
      </w:pPr>
      <w:r>
        <w:rPr>
          <w:b/>
          <w:bCs/>
          <w:caps/>
          <w:color w:val="1F3864"/>
          <w:sz w:val="18"/>
          <w:szCs w:val="18"/>
        </w:rPr>
        <w:t xml:space="preserve">Guardrail Controls, Metrics &amp; Escalation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3300"/>
        <w:gridCol w:w="1700"/>
        <w:gridCol w:w="2650"/>
      </w:tblGrid>
      <w:tr>
        <w:trPr>
          <w:tblHeader/>
        </w:trP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Guardrail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Control Mechanism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Monitoring Metric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Escalation Trigger</w:t>
            </w: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Accuracy /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Non-Misinterpretation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SME + compliance-officer review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required before any client-facing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output; confidence-scored drafting.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Draft accuracy score;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misinterpretation incidents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(target: zero)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Any confirmed misinterpretation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→ auto-pause + root-cause review</w:t>
            </w: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Human-in-the-Loop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No output reaches a client without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a named human approver of record.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% outputs with human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sign-off (target: 100%)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Any bypass of review workflow →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immediate escalation to Compliance Lead</w:t>
            </w: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Transparency &amp;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Explainability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Every clause traceable to source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regulation; plain-language rationale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attached to AI suggestions.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% outputs with source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citation attached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Untraceable output → blocked from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release automatically</w:t>
            </w: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Bias &amp; Fairness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Outputs reviewed for disparate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treatment across client size/sector;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no protected-class inference in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HCM/labor-law use cases.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Quarterly bias audit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findings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Material bias finding → feature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frozen pending fix + re-audit</w:t>
            </w: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Data Privacy &amp;</w:t>
            </w:r>
          </w:p>
          <w:p>
            <w:pPr>
              <w:spacing w:after="0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Security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Client regulatory data segmented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per tenant; no cross-client training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without explicit consent.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Data-isolation audit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pass/fail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Any breach or leakage → security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incident protocol + client notification</w:t>
            </w:r>
          </w:p>
        </w:tc>
      </w:tr>
      <w:tr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3864"/>
                <w:sz w:val="14"/>
                <w:szCs w:val="14"/>
              </w:rPr>
              <w:t xml:space="preserve">Auditability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Immutable log of every AI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suggestion, edit, and approver,</w:t>
            </w:r>
          </w:p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retained per client audit-cycle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requirements.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Audit-log completeness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(target: 100%)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Log gap detected → treated as a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62626"/>
                <w:sz w:val="14"/>
                <w:szCs w:val="14"/>
              </w:rPr>
              <w:t xml:space="preserve">compliance defect, not a bug</w:t>
            </w:r>
          </w:p>
        </w:tc>
      </w:tr>
    </w:tbl>
    <w:p>
      <w:pPr>
        <w:pBdr>
          <w:bottom w:val="single" w:color="2E74B5" w:sz="6" w:space="2"/>
        </w:pBdr>
        <w:spacing w:after="40" w:before="130"/>
      </w:pPr>
      <w:r>
        <w:rPr>
          <w:b/>
          <w:bCs/>
          <w:caps/>
          <w:color w:val="1F3864"/>
          <w:sz w:val="18"/>
          <w:szCs w:val="18"/>
        </w:rPr>
        <w:t xml:space="preserve">Incident Response / Kill-Switch</w:t>
      </w:r>
    </w:p>
    <w:p>
      <w:pPr>
        <w:spacing w:after="20"/>
        <w:ind w:left="200" w:hanging="150"/>
      </w:pPr>
      <w:r>
        <w:rPr>
          <w:b/>
          <w:bCs/>
          <w:color w:val="9C2B2B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 xml:space="preserve">Severity 1 (confirmed regulatory misinterpretation reaching a client): AI output generation paused for affected process area within 1 business day; client notified; root-cause review before resume.</w:t>
      </w:r>
    </w:p>
    <w:p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 xml:space="preserve">Severity 2 (bias, privacy, or audit-log gap): feature frozen pending fix and re-audit; documented in quarterly Board report.</w:t>
      </w:r>
    </w:p>
    <w:p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 xml:space="preserve">All incidents logged in a shared register reviewed at every Board meeting, regardless of severity.</w:t>
      </w:r>
    </w:p>
    <w:p>
      <w:pPr>
        <w:pBdr>
          <w:bottom w:val="single" w:color="2E74B5" w:sz="6" w:space="2"/>
        </w:pBdr>
        <w:spacing w:after="40" w:before="130"/>
      </w:pPr>
      <w:r>
        <w:rPr>
          <w:b/>
          <w:bCs/>
          <w:caps/>
          <w:color w:val="1F3864"/>
          <w:sz w:val="18"/>
          <w:szCs w:val="18"/>
        </w:rPr>
        <w:t xml:space="preserve">Review Cadence</w:t>
      </w:r>
    </w:p>
    <w:p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 xml:space="preserve">Weekly: automated guardrail metrics (accuracy, override rate, log completeness) reviewed by Compliance Lead.</w:t>
      </w:r>
    </w:p>
    <w:p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 xml:space="preserve">Bi-weekly (pilot) / Monthly (scale): Responsible AI Review Board reviews trends, incidents, and Go/No-Go readiness.</w:t>
      </w:r>
    </w:p>
    <w:p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 xml:space="preserve">Quarterly: independent bias and data-isolation audit; findings reported to CEO/executive sponsor.</w:t>
      </w:r>
    </w:p>
    <w:sectPr>
      <w:pgSz w:w="12240" w:h="15840" w:orient="portrait"/>
      <w:pgMar w:top="500" w:right="560" w:bottom="5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2026-08-01T07:42:49.582Z</dcterms:created>
  <dcterms:modified xsi:type="dcterms:W3CDTF">2026-08-01T07:42:49.583Z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