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10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29 total PIB releases today. Found 9 high-yield articles aligned with the UPSC syllabus (GS-1: 2, GS-2: 3, GS-3: 4).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Telangana Delegation Explores Assam’s Rich Cultural Heritage and Traditions Under Yuva Sangam Phase VII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Education  |  Keywords: heritage</w:t>
        <w:br/>
      </w:r>
      <w:r>
        <w:rPr>
          <w:b/>
          <w:color w:val="1E40AF"/>
          <w:sz w:val="20"/>
        </w:rPr>
        <w:t>UPSC Alignment: Aligned with General Studies 1 topics: heritage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https://www.pib.gov.in/PressReleaseDetail.aspx?PRID=2321793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Second Regional Review Conference on Implementation of the Forest Rights Act Held in Kolkata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Tribal Affairs  |  Keywords: tribal</w:t>
        <w:br/>
      </w:r>
      <w:r>
        <w:rPr>
          <w:b/>
          <w:color w:val="1E40AF"/>
          <w:sz w:val="20"/>
        </w:rPr>
        <w:t>UPSC Alignment: Aligned with General Studies 1 topics: tribal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https://www.pib.gov.in/PressReleaseDetail.aspx?PRID=2321667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The Indian Parliamentary Delegation, led by Shri Harivansh, Hon’ble Deputy Chairman, Rajya Sabha, continued its participation in the 153rd Inter-Parliamentary Union (IPU) Assembly in Arusha, Tanzania, on the fifth and final day of the Assembly, 9 October 2026.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Rajya Sabha Secretariat  |  Keywords: rajya sabha</w:t>
        <w:br/>
      </w:r>
      <w:r>
        <w:rPr>
          <w:b/>
          <w:color w:val="1E40AF"/>
          <w:sz w:val="20"/>
        </w:rPr>
        <w:t>UPSC Alignment: Aligned with General Studies 2 topics: rajya sabha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https://www.pib.gov.in/PressReleaseDetail.aspx?PRID=2321679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Third National Conference and Exhibition on Corporate Social Responsibility (NCCSR 2026) concludes, calls for stronger governance, convergence and outcome-oriented CSR for Viksit Bharat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Corporate Affairs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https://www.pib.gov.in/PressReleaseDetail.aspx?PRID=2321728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Union Minister Dr. Mansukh Mandaviya to Declare Open BRICS Traditional and Indigenous Demonstration Games 2026 in Ahmedabad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Youth Affairs and Sports  |  Keywords: brics</w:t>
        <w:br/>
      </w:r>
      <w:r>
        <w:rPr>
          <w:b/>
          <w:color w:val="1E40AF"/>
          <w:sz w:val="20"/>
        </w:rPr>
        <w:t>UPSC Alignment: Aligned with General Studies 2 topics: brics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https://www.pib.gov.in/PressReleaseDetail.aspx?PRID=2321660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LAUNCH OF NEXT GENERATION OFFSHORE PATROL VESSEL (YARD 3040, SHREYAS) AT M/s GRSE, KOLKATA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patrol vessel</w:t>
        <w:br/>
      </w:r>
      <w:r>
        <w:rPr>
          <w:b/>
          <w:color w:val="1E40AF"/>
          <w:sz w:val="20"/>
        </w:rPr>
        <w:t>UPSC Alignment: Aligned with General Studies 3 topics: patrol vessel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https://www.pib.gov.in/PressReleaseDetail.aspx?PRID=2321795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Raksha Mantri Addresses Participants of Exercise Tarang Shakti 2026 at Jodhpur, Emphasises Self-Reliance in Defence and International Cooperation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Internal &amp; External Security</w:t>
        <w:br/>
      </w:r>
      <w:r>
        <w:rPr>
          <w:b/>
          <w:color w:val="1E40AF"/>
          <w:sz w:val="20"/>
        </w:rPr>
        <w:t>UPSC Alignment: Strategic policy update from nodal ministry (Ministry of Defence): Internal &amp; External Security / Defence Capabilities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https://www.pib.gov.in/PressReleaseDetail.aspx?PRID=2321694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NBA Disburses Rs 2.02 Crore of ABS Funds from Seed Sector to Support Biodiversity Conservation and Community Well-Being at Grassroots Level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biodiversity</w:t>
        <w:br/>
      </w:r>
      <w:r>
        <w:rPr>
          <w:b/>
          <w:color w:val="1E40AF"/>
          <w:sz w:val="20"/>
        </w:rPr>
        <w:t>UPSC Alignment: Aligned with General Studies 3 topics: climate change, biodiversity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https://www.pib.gov.in/PressReleaseDetail.aspx?PRID=2321791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CAQM Reviews Stubble Burning Prevention Measures with District Administrations of Amritsar and Tarn Taran; Conducts Field Visits to Hotspot Villages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https://www.pib.gov.in/PressReleaseDetail.aspx?PRID=2321780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1793" TargetMode="External"/><Relationship Id="rId10" Type="http://schemas.openxmlformats.org/officeDocument/2006/relationships/hyperlink" Target="https://www.pib.gov.in/PressReleaseDetail.aspx?PRID=2321667" TargetMode="External"/><Relationship Id="rId11" Type="http://schemas.openxmlformats.org/officeDocument/2006/relationships/hyperlink" Target="https://www.pib.gov.in/PressReleaseDetail.aspx?PRID=2321679" TargetMode="External"/><Relationship Id="rId12" Type="http://schemas.openxmlformats.org/officeDocument/2006/relationships/hyperlink" Target="https://www.pib.gov.in/PressReleaseDetail.aspx?PRID=2321728" TargetMode="External"/><Relationship Id="rId13" Type="http://schemas.openxmlformats.org/officeDocument/2006/relationships/hyperlink" Target="https://www.pib.gov.in/PressReleaseDetail.aspx?PRID=2321660" TargetMode="External"/><Relationship Id="rId14" Type="http://schemas.openxmlformats.org/officeDocument/2006/relationships/hyperlink" Target="https://www.pib.gov.in/PressReleaseDetail.aspx?PRID=2321795" TargetMode="External"/><Relationship Id="rId15" Type="http://schemas.openxmlformats.org/officeDocument/2006/relationships/hyperlink" Target="https://www.pib.gov.in/PressReleaseDetail.aspx?PRID=2321694" TargetMode="External"/><Relationship Id="rId16" Type="http://schemas.openxmlformats.org/officeDocument/2006/relationships/hyperlink" Target="https://www.pib.gov.in/PressReleaseDetail.aspx?PRID=2321791" TargetMode="External"/><Relationship Id="rId17" Type="http://schemas.openxmlformats.org/officeDocument/2006/relationships/hyperlink" Target="https://www.pib.gov.in/PressReleaseDetail.aspx?PRID=23217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