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21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22 total PIB releases today. Found 4 high-yield articles aligned with the UPSC syllabus (GS-2: 1, GS-3: 3).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Law Commission of India to organise National Conference on ‘Co-operative Federalism and Law Reforms: National and State Perspectives’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Law and Justice  |  Keywords: law commission</w:t>
        <w:br/>
      </w:r>
      <w:r>
        <w:rPr>
          <w:b/>
          <w:color w:val="1E40AF"/>
          <w:sz w:val="20"/>
        </w:rPr>
        <w:t>UPSC Alignment: Aligned with General Studies 2 topics: law commission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https://www.pib.gov.in/PressReleaseDetail.aspx?PRID=2325856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DARE/ICAR Undertakes Nearly 4,000 Cleanliness Drives under Swachhata Special Campaign 6.0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Agriculture &amp;</w:t>
        <w:br/>
        <w:br/>
        <w:t>Farmers Welfare  |  Keywords: agriculture</w:t>
        <w:br/>
      </w:r>
      <w:r>
        <w:rPr>
          <w:b/>
          <w:color w:val="1E40AF"/>
          <w:sz w:val="20"/>
        </w:rPr>
        <w:t>UPSC Alignment: Aligned with General Studies 3 topics: agriculture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https://www.pib.gov.in/PressReleaseDetail.aspx?PRID=2325852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MOD INKS ₹ 770 Cr CONTRACT TO PROCURE IMPROVED LOW LEVEL LIGHT WEIGHT RADARS FOR INDIAN ARMY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indian army</w:t>
        <w:br/>
      </w:r>
      <w:r>
        <w:rPr>
          <w:b/>
          <w:color w:val="1E40AF"/>
          <w:sz w:val="20"/>
        </w:rPr>
        <w:t>UPSC Alignment: Aligned with General Studies 3 topics: indian army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https://www.pib.gov.in/PressReleaseDetail.aspx?PRID=2325933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Armed Forces Headquarters Association (AFHQ) appreciates timely promotions under PM Narendra Modi’s Leadership; Discusses employee issues with Dr Jitendra Singh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Personnel, Public Grievances &amp; Pensions  |  Keywords: armed forces</w:t>
        <w:br/>
      </w:r>
      <w:r>
        <w:rPr>
          <w:b/>
          <w:color w:val="1E40AF"/>
          <w:sz w:val="20"/>
        </w:rPr>
        <w:t>UPSC Alignment: Aligned with General Studies 3 topics: armed forces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https://www.pib.gov.in/PressReleaseDetail.aspx?PRID=2325959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25856" TargetMode="External"/><Relationship Id="rId10" Type="http://schemas.openxmlformats.org/officeDocument/2006/relationships/hyperlink" Target="https://www.pib.gov.in/PressReleaseDetail.aspx?PRID=2325852" TargetMode="External"/><Relationship Id="rId11" Type="http://schemas.openxmlformats.org/officeDocument/2006/relationships/hyperlink" Target="https://www.pib.gov.in/PressReleaseDetail.aspx?PRID=2325933" TargetMode="External"/><Relationship Id="rId12" Type="http://schemas.openxmlformats.org/officeDocument/2006/relationships/hyperlink" Target="https://www.pib.gov.in/PressReleaseDetail.aspx?PRID=23259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