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19F1" w14:textId="77777777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</w:p>
    <w:p w14:paraId="388CA76A" w14:textId="2F573A59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mr-IN"/>
        </w:rPr>
        <w:t xml:space="preserve">Data Analysis Report </w:t>
      </w:r>
    </w:p>
    <w:p w14:paraId="5AF36432" w14:textId="1F50D0FF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Name: Abhijit Naikwadi                 PRN No:</w:t>
      </w:r>
      <w:r w:rsidRPr="00BF6597">
        <w:t xml:space="preserve"> </w:t>
      </w: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240340325001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 xml:space="preserve">    </w:t>
      </w:r>
    </w:p>
    <w:p w14:paraId="7A6E8D97" w14:textId="7E3ADA94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14:paraId="32E0625E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14:paraId="6A2233A2" w14:textId="1C670DE4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CE352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Problem Statement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goal of this analysis is to predict bankruptcy based on financial indicators using logistic regression.</w:t>
      </w:r>
    </w:p>
    <w:p w14:paraId="2FB04C42" w14:textId="5FB40CDC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Dataset Overview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: The dataset consists of financial metrics of companies, with Bankrupt</w:t>
      </w:r>
      <w:r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as the target variable (1 for bankruptcy, 0 for non-bankruptcy).</w:t>
      </w:r>
    </w:p>
    <w:p w14:paraId="01C18CB8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Data Distribution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79402AEF" w14:textId="77777777" w:rsidR="00BF6597" w:rsidRPr="00BF6597" w:rsidRDefault="00BF6597" w:rsidP="00BF6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Histograms and box plots were used to visualize the distribution of key variables.</w:t>
      </w:r>
    </w:p>
    <w:p w14:paraId="2DBC0698" w14:textId="77777777" w:rsidR="00BF6597" w:rsidRPr="00BF6597" w:rsidRDefault="00BF6597" w:rsidP="00BF6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For example, the Debt ratio % showed a skewed distribution towards lower values.</w:t>
      </w:r>
    </w:p>
    <w:p w14:paraId="2155B1B0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Correlation Analysis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6F8E76D0" w14:textId="77777777" w:rsidR="00BF6597" w:rsidRPr="00BF6597" w:rsidRDefault="00BF6597" w:rsidP="00BF6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 correlation matrix was computed to identify relationships between variables.</w:t>
      </w:r>
    </w:p>
    <w:p w14:paraId="57202F7C" w14:textId="652A7AB3" w:rsidR="00BF6597" w:rsidRDefault="00BF6597" w:rsidP="00BF6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Strong correlations (&gt;0.5) were found between Bankrupt status and certain financial ratios</w:t>
      </w:r>
    </w:p>
    <w:p w14:paraId="29B21AF7" w14:textId="77777777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5675AA62" w14:textId="10F62CDB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Data Cleaning (EDA)</w:t>
      </w:r>
    </w:p>
    <w:p w14:paraId="4F237BCA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08CA7A2C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Handling Missing Data:</w:t>
      </w:r>
    </w:p>
    <w:p w14:paraId="5ABDA075" w14:textId="753A6481" w:rsidR="00BF6597" w:rsidRDefault="00BF6597" w:rsidP="00BF6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No missing values were found in the dataset, ensuring completeness.</w:t>
      </w:r>
    </w:p>
    <w:p w14:paraId="5C2E9C07" w14:textId="30C14BD3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0286AC2E" w14:textId="77777777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318E578B" w14:textId="213DF48C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  <w:t>Test Performed</w:t>
      </w:r>
    </w:p>
    <w:p w14:paraId="025DFCCC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Hypothesis Tests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6AB7D781" w14:textId="77777777" w:rsidR="00BF6597" w:rsidRPr="00BF6597" w:rsidRDefault="00BF6597" w:rsidP="00BF6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T-tests were conducted to determine significant predictors of bankruptcy.</w:t>
      </w:r>
    </w:p>
    <w:p w14:paraId="29D34EF4" w14:textId="77777777" w:rsidR="00BF6597" w:rsidRPr="00BF6597" w:rsidRDefault="00BF6597" w:rsidP="00BF6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Features like Net profit before tax and Retained Earnings to Total Assets showed significant differences between bankrupt and non-bankrupt companies.</w:t>
      </w:r>
    </w:p>
    <w:p w14:paraId="5BF7BC20" w14:textId="77777777" w:rsidR="00BF6597" w:rsidRPr="00CE352B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mr-IN"/>
        </w:rPr>
      </w:pPr>
    </w:p>
    <w:p w14:paraId="6EDB4DD2" w14:textId="2D4A425C" w:rsidR="00BF6597" w:rsidRPr="00CE352B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</w:pPr>
      <w:r w:rsidRPr="00CE352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 w:bidi="mr-IN"/>
        </w:rPr>
        <w:t>Building Model</w:t>
      </w:r>
    </w:p>
    <w:p w14:paraId="5622BBD8" w14:textId="49F8F4FC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Logistic Regression Model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0D8D36BF" w14:textId="77777777" w:rsidR="00BF6597" w:rsidRPr="00BF6597" w:rsidRDefault="00BF6597" w:rsidP="00BF6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Logistic Regression was chosen for its interpretability and ability to handle binary classification tasks.</w:t>
      </w:r>
    </w:p>
    <w:p w14:paraId="7D79F8BA" w14:textId="50DD5F6D" w:rsidR="00BF6597" w:rsidRDefault="00BF6597" w:rsidP="00BF65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model was trained on the dataset with class weights balanced due to imbalanced classes.</w:t>
      </w:r>
    </w:p>
    <w:p w14:paraId="57A2C3F8" w14:textId="1A44E61A" w:rsid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603C213A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14:paraId="4B47F261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Model Performance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222A41FD" w14:textId="77777777" w:rsidR="00BF6597" w:rsidRPr="00BF6597" w:rsidRDefault="00BF6597" w:rsidP="00BF6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Accuracy: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84%</w:t>
      </w:r>
    </w:p>
    <w:p w14:paraId="4A325D14" w14:textId="77777777" w:rsidR="00BF6597" w:rsidRPr="00BF6597" w:rsidRDefault="00BF6597" w:rsidP="00BF6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Precision: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17%</w:t>
      </w:r>
    </w:p>
    <w:p w14:paraId="09299DC3" w14:textId="77777777" w:rsidR="00BF6597" w:rsidRPr="00BF6597" w:rsidRDefault="00BF6597" w:rsidP="00BF6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Recall: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84%</w:t>
      </w:r>
    </w:p>
    <w:p w14:paraId="1C95FEFC" w14:textId="77777777" w:rsidR="00BF6597" w:rsidRPr="00BF6597" w:rsidRDefault="00BF6597" w:rsidP="00BF65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F1 Score: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29%</w:t>
      </w:r>
    </w:p>
    <w:p w14:paraId="0D4591DD" w14:textId="7DD3873B" w:rsidR="00601F61" w:rsidRDefault="00601F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14:paraId="36F7E87B" w14:textId="5F9E8EDF" w:rsidR="00BF6597" w:rsidRDefault="00BF6597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</w:pPr>
    </w:p>
    <w:p w14:paraId="6F3D4CAB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Confusion Matrix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1DB33210" w14:textId="77777777" w:rsidR="00BF6597" w:rsidRPr="00BF6597" w:rsidRDefault="00BF6597" w:rsidP="00BF65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confusion matrix illustrates the model's predictions versus actual outcomes</w:t>
      </w:r>
    </w:p>
    <w:p w14:paraId="3C6363CA" w14:textId="64D4402D" w:rsidR="00BF6597" w:rsidRDefault="00BF6597"/>
    <w:p w14:paraId="3DAEFA34" w14:textId="7CC18064" w:rsidR="00BF6597" w:rsidRDefault="00BF6597"/>
    <w:p w14:paraId="241B0B20" w14:textId="77777777" w:rsidR="00BF6597" w:rsidRPr="00BF6597" w:rsidRDefault="00BF6597" w:rsidP="00BF6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</w:pPr>
      <w:r w:rsidRPr="00BF659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 w:bidi="mr-IN"/>
        </w:rPr>
        <w:t>Key Findings</w:t>
      </w:r>
      <w:r w:rsidRPr="00BF6597"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mr-IN"/>
        </w:rPr>
        <w:t>:</w:t>
      </w:r>
    </w:p>
    <w:p w14:paraId="3C868572" w14:textId="1C582E99" w:rsidR="00BF6597" w:rsidRPr="00BF6597" w:rsidRDefault="00BF6597" w:rsidP="00BF6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Companies with higher Debt ratios and </w:t>
      </w:r>
      <w:r w:rsidR="00D70B2C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current liability to current assets </w:t>
      </w: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are more likely to be classified as bankrupt.</w:t>
      </w:r>
    </w:p>
    <w:p w14:paraId="0FBA4773" w14:textId="77777777" w:rsidR="00BF6597" w:rsidRPr="00BF6597" w:rsidRDefault="00BF6597" w:rsidP="00BF65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F6597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model achieves high recall but low precision, indicating it correctly identifies bankrupt companies but with many false positives</w:t>
      </w:r>
    </w:p>
    <w:p w14:paraId="266784ED" w14:textId="77777777" w:rsidR="00BF6597" w:rsidRDefault="00BF6597"/>
    <w:sectPr w:rsidR="00BF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B53"/>
    <w:multiLevelType w:val="multilevel"/>
    <w:tmpl w:val="DEA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C4F28"/>
    <w:multiLevelType w:val="multilevel"/>
    <w:tmpl w:val="F3DA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84671"/>
    <w:multiLevelType w:val="multilevel"/>
    <w:tmpl w:val="633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15F2C"/>
    <w:multiLevelType w:val="multilevel"/>
    <w:tmpl w:val="D700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6418C"/>
    <w:multiLevelType w:val="multilevel"/>
    <w:tmpl w:val="9AE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D1C9B"/>
    <w:multiLevelType w:val="multilevel"/>
    <w:tmpl w:val="4DF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2023B"/>
    <w:multiLevelType w:val="multilevel"/>
    <w:tmpl w:val="7CBA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32FF5"/>
    <w:multiLevelType w:val="multilevel"/>
    <w:tmpl w:val="023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00EAF"/>
    <w:multiLevelType w:val="multilevel"/>
    <w:tmpl w:val="14A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641F8"/>
    <w:multiLevelType w:val="multilevel"/>
    <w:tmpl w:val="EE6E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23"/>
    <w:rsid w:val="00094D23"/>
    <w:rsid w:val="00601F61"/>
    <w:rsid w:val="00BF6597"/>
    <w:rsid w:val="00CE352B"/>
    <w:rsid w:val="00D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5C69"/>
  <w15:chartTrackingRefBased/>
  <w15:docId w15:val="{FEF6DC77-9D95-4FF2-87E3-883164F0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BF6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597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BF6597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BF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F6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naikwadi</dc:creator>
  <cp:keywords/>
  <dc:description/>
  <cp:lastModifiedBy>abhijit naikwadi</cp:lastModifiedBy>
  <cp:revision>2</cp:revision>
  <cp:lastPrinted>2024-06-17T15:32:00Z</cp:lastPrinted>
  <dcterms:created xsi:type="dcterms:W3CDTF">2024-06-17T13:08:00Z</dcterms:created>
  <dcterms:modified xsi:type="dcterms:W3CDTF">2024-06-17T15:36:00Z</dcterms:modified>
</cp:coreProperties>
</file>