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48"/>
        </w:rPr>
        <w:t>AI-Powered Knowledge Management Systems</w:t>
      </w:r>
    </w:p>
    <w:p>
      <w:pPr>
        <w:jc w:val="center"/>
      </w:pPr>
      <w:r>
        <w:rPr>
          <w:i/>
          <w:sz w:val="24"/>
        </w:rPr>
        <w:t>Enterprise Architecture &amp; Implementation Guide</w:t>
      </w:r>
    </w:p>
    <w:p>
      <w:r>
        <w:t>Version 1.0</w:t>
      </w:r>
    </w:p>
    <w:p/>
    <w:p>
      <w:pPr>
        <w:pStyle w:val="Heading1"/>
      </w:pPr>
      <w:r>
        <w:t>Executive Summary</w:t>
      </w:r>
    </w:p>
    <w:p>
      <w:r>
        <w:t>Organizations today generate massive volumes of structured and unstructured data. Artificial intelligence is transforming how enterprises store, retrieve, and process knowledge across departments and industries. Modern knowledge management systems must evolve to handle scalability, security, and contextual intelligence while supporting multi-tenant architectures with fine-grained access control.</w:t>
      </w:r>
    </w:p>
    <w:p>
      <w:pPr>
        <w:pStyle w:val="Heading1"/>
      </w:pPr>
      <w:r>
        <w:t>1. Core Architecture &amp; Design Patterns</w:t>
      </w:r>
    </w:p>
    <w:p>
      <w:pPr>
        <w:pStyle w:val="Heading2"/>
      </w:pPr>
      <w:r>
        <w:t>Retrieval Augmented Generation (RAG)</w:t>
      </w:r>
    </w:p>
    <w:p>
      <w:r>
        <w:t>Retrieval Augmented Generation combines semantic search and language models to produce context-aware answers. This approach grounds AI responses in actual retrieved documents, reducing hallucinations and improving trustworthiness.</w:t>
      </w:r>
    </w:p>
    <w:p>
      <w:pPr>
        <w:pStyle w:val="Heading3"/>
      </w:pPr>
      <w:r>
        <w:t>Answer Quality Model</w:t>
      </w:r>
    </w:p>
    <w:p>
      <w:r>
        <w:t>Answer quality (Q) can be modeled as the product of three factors:</w:t>
      </w:r>
    </w:p>
    <w:p>
      <w:r>
        <w:t>Q = relevance × grounding × coherence</w:t>
      </w:r>
    </w:p>
    <w:p>
      <w:r>
        <w:t>Where grounding is calculated as the ratio of retrieved context tokens to total context tokens:</w:t>
      </w:r>
    </w:p>
    <w:p>
      <w:r>
        <w:t>G = retrieved_context_tokens / total_context_tokens</w:t>
      </w:r>
    </w:p>
    <w:p>
      <w:r>
        <w:t>When grounding factor G &lt; 0.5, the system is likely to hallucinate. Hallucination probability is approximately:</w:t>
      </w:r>
    </w:p>
    <w:p>
      <w:r>
        <w:t>H ≈ 1 - G</w:t>
      </w:r>
    </w:p>
    <w:p>
      <w:pPr>
        <w:pStyle w:val="Heading2"/>
      </w:pPr>
      <w:r>
        <w:t>Multi-Tenant SaaS Architecture</w:t>
      </w:r>
    </w:p>
    <w:p>
      <w:r>
        <w:t>A multi-tenant architecture allows different organizations to share infrastructure while maintaining data isolation. Each organization may contain multiple departments with fine-grained access control rules.</w:t>
      </w:r>
    </w:p>
    <w:p>
      <w:pPr>
        <w:pStyle w:val="Heading2"/>
      </w:pPr>
      <w:r>
        <w:t>Access Control Model</w:t>
      </w:r>
    </w:p>
    <w:p>
      <w:r>
        <w:t>Typical role-based access control includes:</w:t>
      </w:r>
    </w:p>
    <w:p>
      <w:pPr>
        <w:pStyle w:val="ListBullet"/>
      </w:pPr>
      <w:r>
        <w:t>Admin - System-wide oversight and global configuration</w:t>
      </w:r>
    </w:p>
    <w:p>
      <w:pPr>
        <w:pStyle w:val="ListBullet"/>
      </w:pPr>
      <w:r>
        <w:t>Department Admin - Token allocation within department</w:t>
      </w:r>
    </w:p>
    <w:p>
      <w:pPr>
        <w:pStyle w:val="ListBullet"/>
      </w:pPr>
      <w:r>
        <w:t>Author - Document upload and management</w:t>
      </w:r>
    </w:p>
    <w:p>
      <w:pPr>
        <w:pStyle w:val="ListBullet"/>
      </w:pPr>
      <w:r>
        <w:t>User - Query and search capabilities</w:t>
      </w:r>
    </w:p>
    <w:p>
      <w:pPr>
        <w:pStyle w:val="Heading1"/>
      </w:pPr>
      <w:r>
        <w:t>2. Document Ingestion &amp; Processing</w:t>
      </w:r>
    </w:p>
    <w:p>
      <w:pPr>
        <w:pStyle w:val="Heading2"/>
      </w:pPr>
      <w:r>
        <w:t>File Format Support</w:t>
      </w:r>
    </w:p>
    <w:p>
      <w:r>
        <w:t>Document ingestion pipelines must efficiently process multiple file types including PDF, Word, Excel, and image files. Optical character recognition (OCR) is required for scanned and image-based documents.</w:t>
      </w:r>
    </w:p>
    <w:p>
      <w:pPr>
        <w:pStyle w:val="Heading2"/>
      </w:pPr>
      <w:r>
        <w:t>Text Extraction &amp; Structure</w:t>
      </w:r>
    </w:p>
    <w:p>
      <w:r>
        <w:t>Text extraction should preserve document structure including headings, tables, and metadata. This structural information is critical for accurate chunking and semantic understanding.</w:t>
      </w:r>
    </w:p>
    <w:p>
      <w:pPr>
        <w:pStyle w:val="Heading2"/>
      </w:pPr>
      <w:r>
        <w:t>Document Chunking Strategy</w:t>
      </w:r>
    </w:p>
    <w:p>
      <w:r>
        <w:t>Chunking strategies determine how documents are divided before embedding. There is a tradeoff between granularity and cost. The latency optimization problem can be modeled as:</w:t>
      </w:r>
    </w:p>
    <w:p>
      <w:r>
        <w:t>Minimize: L = f(chunk_size, retrieval_k, embedding_time, model_latency)</w:t>
      </w:r>
    </w:p>
    <w:p>
      <w:r>
        <w:t>Subject to: context_window_constraint</w:t>
      </w:r>
    </w:p>
    <w:p/>
    <w:p>
      <w:r>
        <w:t>Embedding cost is calculated as:</w:t>
      </w:r>
    </w:p>
    <w:p>
      <w:r>
        <w:t>C_embed = num_chunks × tokens_per_chunk × cost_per_token</w:t>
      </w:r>
    </w:p>
    <w:p/>
    <w:p>
      <w:pPr>
        <w:pStyle w:val="ListBullet"/>
      </w:pPr>
      <w:r>
        <w:t>Smaller chunks improve retrieval precision but increase embedding costs</w:t>
      </w:r>
    </w:p>
    <w:p>
      <w:pPr>
        <w:pStyle w:val="ListBullet"/>
      </w:pPr>
      <w:r>
        <w:t>Larger chunks reduce index size but may reduce contextual granularity</w:t>
      </w:r>
    </w:p>
    <w:p>
      <w:pPr>
        <w:pStyle w:val="ListBullet"/>
      </w:pPr>
      <w:r>
        <w:t>Adaptive chunk sizing may optimize retrieval quality</w:t>
      </w:r>
    </w:p>
    <w:p>
      <w:pPr>
        <w:pStyle w:val="Heading1"/>
      </w:pPr>
      <w:r>
        <w:t>3. Vector Storage &amp; Semantic Search</w:t>
      </w:r>
    </w:p>
    <w:p>
      <w:pPr>
        <w:pStyle w:val="Heading2"/>
      </w:pPr>
      <w:r>
        <w:t>Vector Database Architecture</w:t>
      </w:r>
    </w:p>
    <w:p>
      <w:r>
        <w:t>Vector databases store embeddings to enable semantic search. FAISS is commonly used for efficient similarity search in high-dimensional space. HNSW indexing improves approximate nearest neighbor performance with O(log n) complexity.</w:t>
      </w:r>
    </w:p>
    <w:p>
      <w:pPr>
        <w:pStyle w:val="Heading3"/>
      </w:pPr>
      <w:r>
        <w:t>Embedding Dimensionality</w:t>
      </w:r>
    </w:p>
    <w:p>
      <w:r>
        <w:t>Let E represent embedding dimensionality. Common transformer encoders use E = 1536 dimensions.</w:t>
      </w:r>
    </w:p>
    <w:p>
      <w:pPr>
        <w:pStyle w:val="Heading3"/>
      </w:pPr>
      <w:r>
        <w:t>Cosine Similarity Calculation</w:t>
      </w:r>
    </w:p>
    <w:p>
      <w:r>
        <w:t>Similarity between two vectors A and B is computed using cosine similarity:</w:t>
      </w:r>
    </w:p>
    <w:p>
      <w:r>
        <w:t>cos(θ) = (A · B) / (||A|| × ||B||)</w:t>
      </w:r>
    </w:p>
    <w:p/>
    <w:p>
      <w:r>
        <w:t>Where the dot product is calculated as:</w:t>
      </w:r>
    </w:p>
    <w:p>
      <w:r>
        <w:t>A · B = Σ(Ai × Bi) for i from 1 to n</w:t>
      </w:r>
    </w:p>
    <w:p/>
    <w:p>
      <w:r>
        <w:t>Vector search complexity for HNSW graphs is approximately O(log n), where graph nodes represent document embeddings in high-dimensional space and edge weights represent similarity distance thresholds.</w:t>
      </w:r>
    </w:p>
    <w:p>
      <w:pPr>
        <w:pStyle w:val="Heading2"/>
      </w:pPr>
      <w:r>
        <w:t>Metadata &amp; Filtering</w:t>
      </w:r>
    </w:p>
    <w:p>
      <w:r>
        <w:t>Metadata tagging allows filtering by organization, department, or document type. This enables both semantic and exact-match search capabilities.</w:t>
      </w:r>
    </w:p>
    <w:p>
      <w:pPr>
        <w:pStyle w:val="Heading2"/>
      </w:pPr>
      <w:r>
        <w:t>Duplicate Detection</w:t>
      </w:r>
    </w:p>
    <w:p>
      <w:r>
        <w:t>Duplicate detection mechanisms prevent redundant storage. MinHash algorithms efficiently detect approximate similarity between documents without requiring full comparison.</w:t>
      </w:r>
    </w:p>
    <w:p>
      <w:pPr>
        <w:pStyle w:val="Heading1"/>
      </w:pPr>
      <w:r>
        <w:t>4. Token-Based Licensing &amp; Cost Management</w:t>
      </w:r>
    </w:p>
    <w:p>
      <w:r>
        <w:t>Token-based licensing models help organizations manage AI consumption costs. One license typically corresponds to one million tokens of usage.</w:t>
      </w:r>
    </w:p>
    <w:p>
      <w:pPr>
        <w:pStyle w:val="Heading2"/>
      </w:pPr>
      <w:r>
        <w:t>Token Consumption Calculation</w:t>
      </w:r>
    </w:p>
    <w:p>
      <w:r>
        <w:t>Total token consumption is approximated by:</w:t>
      </w:r>
    </w:p>
    <w:p>
      <w:r>
        <w:t>T = input_tokens + output_tokens + embedding_tokens</w:t>
      </w:r>
    </w:p>
    <w:p/>
    <w:p>
      <w:r>
        <w:t>If one license equals one million tokens, then:</w:t>
      </w:r>
    </w:p>
    <w:p>
      <w:r>
        <w:t>total_tokens = licenses × 1,000,000</w:t>
      </w:r>
    </w:p>
    <w:p>
      <w:pPr>
        <w:pStyle w:val="Heading2"/>
      </w:pPr>
      <w:r>
        <w:t>Organization Token Pool Model</w:t>
      </w:r>
    </w:p>
    <w:p>
      <w:r>
        <w:t>The organization token pool over time is represented as:</w:t>
      </w:r>
    </w:p>
    <w:p>
      <w:r>
        <w:t>OrgPool(t+1) = OrgPool(t) - usage_chat - usage_embedding - usage_upload</w:t>
      </w:r>
    </w:p>
    <w:p/>
    <w:p>
      <w:r>
        <w:t>If usage_chat &gt; user_cap, trigger notification_event</w:t>
      </w:r>
    </w:p>
    <w:p>
      <w:pPr>
        <w:pStyle w:val="Heading2"/>
      </w:pPr>
      <w:r>
        <w:t>Token Allocation Formula</w:t>
      </w:r>
    </w:p>
    <w:p>
      <w:r>
        <w:t>Department allocation is calculated based on weighted distribution:</w:t>
      </w:r>
    </w:p>
    <w:p>
      <w:r>
        <w:t>DeptAlloc = OrgPool × dept_weight / total_weights</w:t>
      </w:r>
    </w:p>
    <w:p/>
    <w:p>
      <w:r>
        <w:t>User-level allocation within a department:</w:t>
      </w:r>
    </w:p>
    <w:p>
      <w:r>
        <w:t>UserAlloc = DeptAlloc / total_users</w:t>
      </w:r>
    </w:p>
    <w:p>
      <w:pPr>
        <w:pStyle w:val="Heading2"/>
      </w:pPr>
      <w:r>
        <w:t>Token Usage Tracking</w:t>
      </w:r>
    </w:p>
    <w:p>
      <w:r>
        <w:t>Token usage must be tracked separately for:</w:t>
      </w:r>
    </w:p>
    <w:p>
      <w:pPr>
        <w:pStyle w:val="ListBullet"/>
      </w:pPr>
      <w:r>
        <w:t>Upload operations (document ingestion)</w:t>
      </w:r>
    </w:p>
    <w:p>
      <w:pPr>
        <w:pStyle w:val="ListBullet"/>
      </w:pPr>
      <w:r>
        <w:t>Embedding generation (vector creation)</w:t>
      </w:r>
    </w:p>
    <w:p>
      <w:pPr>
        <w:pStyle w:val="ListBullet"/>
      </w:pPr>
      <w:r>
        <w:t>Chat interactions (query processing)</w:t>
      </w:r>
    </w:p>
    <w:p>
      <w:pPr>
        <w:pStyle w:val="ListBullet"/>
      </w:pPr>
      <w:r>
        <w:t>Response generation (LLM output)</w:t>
      </w:r>
    </w:p>
    <w:p>
      <w:pPr>
        <w:pStyle w:val="Heading2"/>
      </w:pPr>
      <w:r>
        <w:t>Usage Alerts &amp; Notifications</w:t>
      </w:r>
    </w:p>
    <w:p>
      <w:r>
        <w:t>Notification systems can trigger alerts when token usage crosses 60% and 90% thresholds, allowing organizations to proactively manage consumption.</w:t>
      </w:r>
    </w:p>
    <w:p>
      <w:pPr>
        <w:pStyle w:val="Heading1"/>
      </w:pPr>
      <w:r>
        <w:t>5. Backend Infrastructure &amp; Services</w:t>
      </w:r>
    </w:p>
    <w:p>
      <w:pPr>
        <w:pStyle w:val="Heading2"/>
      </w:pPr>
      <w:r>
        <w:t>Asynchronous Processing</w:t>
      </w:r>
    </w:p>
    <w:p>
      <w:r>
        <w:t>Background workers such as Celery handle heavy embedding and OCR tasks asynchronously. Redis is commonly used as a message broker for managing distributed job queues.</w:t>
      </w:r>
    </w:p>
    <w:p>
      <w:pPr>
        <w:pStyle w:val="Heading2"/>
      </w:pPr>
      <w:r>
        <w:t>Database Layer</w:t>
      </w:r>
    </w:p>
    <w:p>
      <w:r>
        <w:t>Database schemas must enforce referential integrity with foreign keys. SQLAlchemy models define ORM relationships between entities for type-safe database operations.</w:t>
      </w:r>
    </w:p>
    <w:p>
      <w:pPr>
        <w:pStyle w:val="Heading2"/>
      </w:pPr>
      <w:r>
        <w:t>API Framework</w:t>
      </w:r>
    </w:p>
    <w:p>
      <w:r>
        <w:t>FastAPI enables high-performance backend services with automatic API documentation. REST endpoints handle chat threads, question-answering workflows, and document management. Pydantic models validate all API requests and responses.</w:t>
      </w:r>
    </w:p>
    <w:p>
      <w:pPr>
        <w:pStyle w:val="Heading2"/>
      </w:pPr>
      <w:r>
        <w:t>Conversation Management</w:t>
      </w:r>
    </w:p>
    <w:p>
      <w:r>
        <w:t>Thread-level memory improves conversational continuity. LangGraph enables stateful workflow orchestration with persistent conversation state through checkpoint savers. Messages include both human and AI message objects with full context preservation.</w:t>
      </w:r>
    </w:p>
    <w:p>
      <w:pPr>
        <w:pStyle w:val="Heading1"/>
      </w:pPr>
      <w:r>
        <w:t>6. Language Model Integration</w:t>
      </w:r>
    </w:p>
    <w:p>
      <w:pPr>
        <w:pStyle w:val="Heading2"/>
      </w:pPr>
      <w:r>
        <w:t>Provider Abstraction</w:t>
      </w:r>
    </w:p>
    <w:p>
      <w:r>
        <w:t>Provider abstraction layers allow switching between OpenAI and Gemini without code changes. Thread-level provider switching enables experimentation and A/B testing.</w:t>
      </w:r>
    </w:p>
    <w:p>
      <w:pPr>
        <w:pStyle w:val="Heading2"/>
      </w:pPr>
      <w:r>
        <w:t>Embedding Consistency</w:t>
      </w:r>
    </w:p>
    <w:p>
      <w:r>
        <w:t>Embedding models must remain consistent across indexing and retrieval phases. Semantic drift may occur across model versions, requiring version control of embeddings for reproducibility. Embeddings should not mix across incompatible models.</w:t>
      </w:r>
    </w:p>
    <w:p>
      <w:pPr>
        <w:pStyle w:val="Heading2"/>
      </w:pPr>
      <w:r>
        <w:t>LLM Gateway &amp; Reliability</w:t>
      </w:r>
    </w:p>
    <w:p>
      <w:r>
        <w:t>LLM gateway patterns improve reliability through fallback behavior and graceful degradation. Cost optimization strategies balance latency and token usage at query time.</w:t>
      </w:r>
    </w:p>
    <w:p>
      <w:pPr>
        <w:pStyle w:val="Heading1"/>
      </w:pPr>
      <w:r>
        <w:t>7. Transformer Architecture &amp; Neural Networks</w:t>
      </w:r>
    </w:p>
    <w:p>
      <w:pPr>
        <w:pStyle w:val="Heading2"/>
      </w:pPr>
      <w:r>
        <w:t>Attention Mechanism</w:t>
      </w:r>
    </w:p>
    <w:p>
      <w:r>
        <w:t>Transformer attention is mathematically defined as:</w:t>
      </w:r>
    </w:p>
    <w:p>
      <w:r>
        <w:t>Attention(Q,K,V) = softmax((QKᵀ)/√(dk)) V</w:t>
      </w:r>
    </w:p>
    <w:p/>
    <w:p>
      <w:r>
        <w:t>Where:</w:t>
      </w:r>
    </w:p>
    <w:p>
      <w:pPr>
        <w:pStyle w:val="ListBullet"/>
      </w:pPr>
      <w:r>
        <w:t>Q represents the query matrix</w:t>
      </w:r>
    </w:p>
    <w:p>
      <w:pPr>
        <w:pStyle w:val="ListBullet"/>
      </w:pPr>
      <w:r>
        <w:t>K represents the key matrix</w:t>
      </w:r>
    </w:p>
    <w:p>
      <w:pPr>
        <w:pStyle w:val="ListBullet"/>
      </w:pPr>
      <w:r>
        <w:t>V represents the value matrix</w:t>
      </w:r>
    </w:p>
    <w:p>
      <w:pPr>
        <w:pStyle w:val="ListBullet"/>
      </w:pPr>
      <w:r>
        <w:t>dk represents the dimensionality of keys</w:t>
      </w:r>
    </w:p>
    <w:p>
      <w:pPr>
        <w:pStyle w:val="Heading2"/>
      </w:pPr>
      <w:r>
        <w:t>Softmax Function</w:t>
      </w:r>
    </w:p>
    <w:p>
      <w:r>
        <w:t>The softmax normalization is calculated as:</w:t>
      </w:r>
    </w:p>
    <w:p>
      <w:r>
        <w:t>softmax(xi) = exp(xi) / Σ(exp(xj)) for all j</w:t>
      </w:r>
    </w:p>
    <w:p>
      <w:pPr>
        <w:pStyle w:val="Heading2"/>
      </w:pPr>
      <w:r>
        <w:t>Training &amp; Optimization</w:t>
      </w:r>
    </w:p>
    <w:p>
      <w:r>
        <w:t>Loss function for language model training uses cross-entropy:</w:t>
      </w:r>
    </w:p>
    <w:p>
      <w:r>
        <w:t>L = -Σ(y_true × log(y_pred))</w:t>
      </w:r>
    </w:p>
    <w:p/>
    <w:p>
      <w:r>
        <w:t>Gradient descent update rule:</w:t>
      </w:r>
    </w:p>
    <w:p>
      <w:r>
        <w:t>θ_new = θ_old - α × gradient</w:t>
      </w:r>
    </w:p>
    <w:p/>
    <w:p>
      <w:r>
        <w:t>Where α is the learning rate controlling convergence speed.</w:t>
      </w:r>
    </w:p>
    <w:p>
      <w:pPr>
        <w:pStyle w:val="Heading1"/>
      </w:pPr>
      <w:r>
        <w:t>8. Security &amp; Data Protection</w:t>
      </w:r>
    </w:p>
    <w:p>
      <w:pPr>
        <w:pStyle w:val="Heading2"/>
      </w:pPr>
      <w:r>
        <w:t>Data Governance Policy</w:t>
      </w:r>
    </w:p>
    <w:p>
      <w:r>
        <w:t>All documents must be encrypted at rest using AES-256. All API requests must use TLS version 1.2 or higher. Access control must enforce org_id and dept_id isolation. Users shall not access documents outside authorized departments.</w:t>
      </w:r>
    </w:p>
    <w:p>
      <w:pPr>
        <w:pStyle w:val="Heading2"/>
      </w:pPr>
      <w:r>
        <w:t>Token Management Policy</w:t>
      </w:r>
    </w:p>
    <w:p>
      <w:r>
        <w:t>Each organization shall maintain accurate token usage records. Token usage must be logged per user and per department. Notifications shall trigger at 60% and 90% usage thresholds. Unused tokens may not be transferred across organizations.</w:t>
      </w:r>
    </w:p>
    <w:p>
      <w:pPr>
        <w:pStyle w:val="Heading2"/>
      </w:pPr>
      <w:r>
        <w:t>Document Retention Policy</w:t>
      </w:r>
    </w:p>
    <w:p>
      <w:r>
        <w:t>Documents older than retention period R shall be archived:</w:t>
      </w:r>
    </w:p>
    <w:p>
      <w:r>
        <w:t>R = policy_years × 365 days</w:t>
      </w:r>
    </w:p>
    <w:p/>
    <w:p>
      <w:r>
        <w:t>Archived documents remain searchable but read-only. Deletion requests must be audited and logged.</w:t>
      </w:r>
    </w:p>
    <w:p>
      <w:pPr>
        <w:pStyle w:val="Heading2"/>
      </w:pPr>
      <w:r>
        <w:t>Data Isolation</w:t>
      </w:r>
    </w:p>
    <w:p>
      <w:r>
        <w:t>Department-level isolation prevents cross-access data leakage. Organization-level isolation must be enforced at query time to ensure multi-tenant security. Department membership should be validated on every query.</w:t>
      </w:r>
    </w:p>
    <w:p>
      <w:pPr>
        <w:pStyle w:val="Heading2"/>
      </w:pPr>
      <w:r>
        <w:t>Encryption &amp; Anonymization</w:t>
      </w:r>
    </w:p>
    <w:p>
      <w:r>
        <w:t>Encryption at rest and in transit protects sensitive data. PII masking can be implemented using Presidio for reversible anonymization with synthetic placeholders.</w:t>
      </w:r>
    </w:p>
    <w:p>
      <w:pPr>
        <w:pStyle w:val="Heading2"/>
      </w:pPr>
      <w:r>
        <w:t>Audit &amp; Compliance</w:t>
      </w:r>
    </w:p>
    <w:p>
      <w:r>
        <w:t>Audit logs record document access and chat interactions for compliance review. Soft deletes preserve historical records while hard deletes permanently remove data. Compliance requirements may include GDPR, SOC2, and data residency policies. Access revocation must invalidate permissions immediately.</w:t>
      </w:r>
    </w:p>
    <w:p>
      <w:pPr>
        <w:pStyle w:val="Heading1"/>
      </w:pPr>
      <w:r>
        <w:t>9. Scalability &amp; Performance Optimization</w:t>
      </w:r>
    </w:p>
    <w:p>
      <w:pPr>
        <w:pStyle w:val="Heading2"/>
      </w:pPr>
      <w:r>
        <w:t>Infrastructure Scaling</w:t>
      </w:r>
    </w:p>
    <w:p>
      <w:r>
        <w:t>Scalability considerations include both horizontal and vertical scaling strategies. Load balancing distributes traffic across application servers. Docker containers simplify deployment consistency.</w:t>
      </w:r>
    </w:p>
    <w:p>
      <w:pPr>
        <w:pStyle w:val="Heading2"/>
      </w:pPr>
      <w:r>
        <w:t>Database Scaling</w:t>
      </w:r>
    </w:p>
    <w:p>
      <w:r>
        <w:t>Horizontal sharding distributes database load across multiple nodes. Database indexing improves query performance, while query optimization prevents full table scans. Index fragmentation may degrade performance and requires regular maintenance.</w:t>
      </w:r>
    </w:p>
    <w:p>
      <w:pPr>
        <w:pStyle w:val="Heading2"/>
      </w:pPr>
      <w:r>
        <w:t>Response Optimization</w:t>
      </w:r>
    </w:p>
    <w:p>
      <w:pPr>
        <w:pStyle w:val="ListBullet"/>
      </w:pPr>
      <w:r>
        <w:t>Streaming responses improve perceived user experience</w:t>
      </w:r>
    </w:p>
    <w:p>
      <w:pPr>
        <w:pStyle w:val="ListBullet"/>
      </w:pPr>
      <w:r>
        <w:t>WebSocket connections enable real-time chat updates</w:t>
      </w:r>
    </w:p>
    <w:p>
      <w:pPr>
        <w:pStyle w:val="ListBullet"/>
      </w:pPr>
      <w:r>
        <w:t>Caching frequently accessed queries reduces computation</w:t>
      </w:r>
    </w:p>
    <w:p>
      <w:pPr>
        <w:pStyle w:val="ListBullet"/>
      </w:pPr>
      <w:r>
        <w:t>Summarization layers compress long context windows</w:t>
      </w:r>
    </w:p>
    <w:p>
      <w:pPr>
        <w:pStyle w:val="ListBullet"/>
      </w:pPr>
      <w:r>
        <w:t>Latency optimization may require GPU acceleration</w:t>
      </w:r>
    </w:p>
    <w:p>
      <w:pPr>
        <w:pStyle w:val="ListBullet"/>
      </w:pPr>
      <w:r>
        <w:t>Cold start mitigation improves initial response time</w:t>
      </w:r>
    </w:p>
    <w:p>
      <w:pPr>
        <w:pStyle w:val="Heading2"/>
      </w:pPr>
      <w:r>
        <w:t>Search &amp; Retrieval Enhancement</w:t>
      </w:r>
    </w:p>
    <w:p>
      <w:r>
        <w:t>Semantic search must handle synonyms and contextual variation. Stop word handling improves retrieval relevance, while reranking models refine document order. Hybrid search may combine keyword and vector-based approaches. Adaptive chunk sizing may improve retrieval quality.</w:t>
      </w:r>
    </w:p>
    <w:p>
      <w:pPr>
        <w:pStyle w:val="Heading1"/>
      </w:pPr>
      <w:r>
        <w:t>10. Response Quality &amp; User Experience</w:t>
      </w:r>
    </w:p>
    <w:p>
      <w:pPr>
        <w:pStyle w:val="Heading2"/>
      </w:pPr>
      <w:r>
        <w:t>Answer Quality Assurance</w:t>
      </w:r>
    </w:p>
    <w:p>
      <w:r>
        <w:t>Answer quality depends on relevance, grounding, and coherence. Citation formatting increases answer trustworthiness, while transparency in sources improves credibility.</w:t>
      </w:r>
    </w:p>
    <w:p>
      <w:pPr>
        <w:pStyle w:val="Heading2"/>
      </w:pPr>
      <w:r>
        <w:t>Hallucination Mitigation</w:t>
      </w:r>
    </w:p>
    <w:p>
      <w:r>
        <w:t>Grounded responses rely on retrieved context. Model hallucination must be minimized through proper context injection and avoiding policy leakage. Unanswerable queries should be flagged clearly rather than guessed. The system must check access before retrieving sensitive policy information.</w:t>
      </w:r>
    </w:p>
    <w:p>
      <w:pPr>
        <w:pStyle w:val="Heading2"/>
      </w:pPr>
      <w:r>
        <w:t>Engagement Features</w:t>
      </w:r>
    </w:p>
    <w:p>
      <w:r>
        <w:t>Follow-up suggestion generation improves user engagement. Thread descriptions summarize conversation intent, while casual conversation handling bypasses document retrieval when appropriate. Structured JSON outputs allow consistent frontend rendering.</w:t>
      </w:r>
    </w:p>
    <w:p>
      <w:pPr>
        <w:pStyle w:val="Heading1"/>
      </w:pPr>
      <w:r>
        <w:t>11. System Observability &amp; Monitoring</w:t>
      </w:r>
    </w:p>
    <w:p>
      <w:r>
        <w:t>System observability requires comprehensive logging and monitoring. Prometheus metrics track usage and performance, while alerting systems notify administrators about anomalies. Structured logging aids debugging with correlation IDs to trace request flow.</w:t>
      </w:r>
    </w:p>
    <w:p>
      <w:pPr>
        <w:pStyle w:val="Heading2"/>
      </w:pPr>
      <w:r>
        <w:t>Disaster Recovery</w:t>
      </w:r>
    </w:p>
    <w:p>
      <w:r>
        <w:t>Disaster recovery plans ensure business continuity. Regular backups must be scheduled, and vector index rebuilding may be required after schema updates. Graceful degradation maintains service during outages. Circuit breaker patterns protect dependencies from cascading failures. Fallback models ensure continuity when primary services fail.</w:t>
      </w:r>
    </w:p>
    <w:p>
      <w:pPr>
        <w:pStyle w:val="Heading1"/>
      </w:pPr>
      <w:r>
        <w:t>12. Testing &amp; Quality Assurance</w:t>
      </w:r>
    </w:p>
    <w:p>
      <w:pPr>
        <w:pStyle w:val="ListBullet"/>
      </w:pPr>
      <w:r>
        <w:t>Unit tests ensure correctness of token deduction logic</w:t>
      </w:r>
    </w:p>
    <w:p>
      <w:pPr>
        <w:pStyle w:val="ListBullet"/>
      </w:pPr>
      <w:r>
        <w:t>Integration tests validate end-to-end ingestion pipelines</w:t>
      </w:r>
    </w:p>
    <w:p>
      <w:pPr>
        <w:pStyle w:val="ListBullet"/>
      </w:pPr>
      <w:r>
        <w:t>Performance testing evaluates response latency under load</w:t>
      </w:r>
    </w:p>
    <w:p>
      <w:pPr>
        <w:pStyle w:val="ListBullet"/>
      </w:pPr>
      <w:r>
        <w:t>Stress testing identifies system breaking points</w:t>
      </w:r>
    </w:p>
    <w:p>
      <w:pPr>
        <w:pStyle w:val="ListBullet"/>
      </w:pPr>
      <w:r>
        <w:t>Edge case testing ensures robustness with malformed inputs</w:t>
      </w:r>
    </w:p>
    <w:p>
      <w:pPr>
        <w:pStyle w:val="Heading2"/>
      </w:pPr>
      <w:r>
        <w:t>Edge Cases</w:t>
      </w:r>
    </w:p>
    <w:p>
      <w:pPr>
        <w:pStyle w:val="ListBullet"/>
      </w:pPr>
      <w:r>
        <w:t>User uploads empty file - system returns validation error</w:t>
      </w:r>
    </w:p>
    <w:p>
      <w:pPr>
        <w:pStyle w:val="ListBullet"/>
      </w:pPr>
      <w:r>
        <w:t>User uploads corrupted PDF - OCR fallback triggers automatically</w:t>
      </w:r>
    </w:p>
    <w:p>
      <w:pPr>
        <w:pStyle w:val="ListBullet"/>
      </w:pPr>
      <w:r>
        <w:t>User uploads 500MB file - streaming ingestion activates</w:t>
      </w:r>
    </w:p>
    <w:p>
      <w:pPr>
        <w:pStyle w:val="ListBullet"/>
      </w:pPr>
      <w:r>
        <w:t>User asks casual greeting - system bypasses retrieval and responds conversationally</w:t>
      </w:r>
    </w:p>
    <w:p>
      <w:pPr>
        <w:pStyle w:val="ListBullet"/>
      </w:pPr>
      <w:r>
        <w:t>User asks sensitive policy question - system checks access before retrieval</w:t>
      </w:r>
    </w:p>
    <w:p>
      <w:pPr>
        <w:pStyle w:val="ListBullet"/>
      </w:pPr>
      <w:r>
        <w:t>User queries across unauthorized department - system returns access denied</w:t>
      </w:r>
    </w:p>
    <w:p>
      <w:pPr>
        <w:pStyle w:val="Heading1"/>
      </w:pPr>
      <w:r>
        <w:t>13. Deployment &amp; DevOps Practices</w:t>
      </w:r>
    </w:p>
    <w:p>
      <w:pPr>
        <w:pStyle w:val="Heading2"/>
      </w:pPr>
      <w:r>
        <w:t>CI/CD Pipeline</w:t>
      </w:r>
    </w:p>
    <w:p>
      <w:r>
        <w:t>CI/CD pipelines automate testing and deployment. Git version control tracks code changes and collaboration. Branching strategies separate development and production workflows.</w:t>
      </w:r>
    </w:p>
    <w:p>
      <w:pPr>
        <w:pStyle w:val="Heading2"/>
      </w:pPr>
      <w:r>
        <w:t>Database Management</w:t>
      </w:r>
    </w:p>
    <w:p>
      <w:r>
        <w:t>Database migrations manage schema evolution safely. Token deduction must occur atomically within database transactions. Concurrency issues may arise under high load and require careful locking strategies.</w:t>
      </w:r>
    </w:p>
    <w:p>
      <w:pPr>
        <w:pStyle w:val="Heading2"/>
      </w:pPr>
      <w:r>
        <w:t>Deployment Strategies</w:t>
      </w:r>
    </w:p>
    <w:p>
      <w:pPr>
        <w:pStyle w:val="ListBullet"/>
      </w:pPr>
      <w:r>
        <w:t>Blue-green deployments reduce downtime during updates</w:t>
      </w:r>
    </w:p>
    <w:p>
      <w:pPr>
        <w:pStyle w:val="ListBullet"/>
      </w:pPr>
      <w:r>
        <w:t>Canary releases test new features safely with gradual rollout</w:t>
      </w:r>
    </w:p>
    <w:p>
      <w:pPr>
        <w:pStyle w:val="ListBullet"/>
      </w:pPr>
      <w:r>
        <w:t>Feature flags allow controlled feature rollout</w:t>
      </w:r>
    </w:p>
    <w:p>
      <w:pPr>
        <w:pStyle w:val="ListBullet"/>
      </w:pPr>
      <w:r>
        <w:t>API rate limiting prevents abuse</w:t>
      </w:r>
    </w:p>
    <w:p>
      <w:pPr>
        <w:pStyle w:val="ListBullet"/>
      </w:pPr>
      <w:r>
        <w:t>Health checks ensure readiness and liveness</w:t>
      </w:r>
    </w:p>
    <w:p>
      <w:pPr>
        <w:pStyle w:val="Heading2"/>
      </w:pPr>
      <w:r>
        <w:t>Security in Operations</w:t>
      </w:r>
    </w:p>
    <w:p>
      <w:pPr>
        <w:pStyle w:val="ListBullet"/>
      </w:pPr>
      <w:r>
        <w:t>Secure authentication using JWT tokens</w:t>
      </w:r>
    </w:p>
    <w:p>
      <w:pPr>
        <w:pStyle w:val="ListBullet"/>
      </w:pPr>
      <w:r>
        <w:t>Refresh tokens maintain session continuity</w:t>
      </w:r>
    </w:p>
    <w:p>
      <w:pPr>
        <w:pStyle w:val="ListBullet"/>
      </w:pPr>
      <w:r>
        <w:t>Role validation middleware enforces authorization checks</w:t>
      </w:r>
    </w:p>
    <w:p>
      <w:pPr>
        <w:pStyle w:val="ListBullet"/>
      </w:pPr>
      <w:r>
        <w:t>Session timeout improves security</w:t>
      </w:r>
    </w:p>
    <w:p>
      <w:pPr>
        <w:pStyle w:val="ListBullet"/>
      </w:pPr>
      <w:r>
        <w:t>Password policies enforce strong credentials</w:t>
      </w:r>
    </w:p>
    <w:p>
      <w:pPr>
        <w:pStyle w:val="ListBullet"/>
      </w:pPr>
      <w:r>
        <w:t>Multi-factor authentication increases protection</w:t>
      </w:r>
    </w:p>
    <w:p>
      <w:pPr>
        <w:pStyle w:val="Heading1"/>
      </w:pPr>
      <w:r>
        <w:t>14. Cost Management &amp; Financial Modeling</w:t>
      </w:r>
    </w:p>
    <w:p>
      <w:pPr>
        <w:pStyle w:val="Heading2"/>
      </w:pPr>
      <w:r>
        <w:t>Revenue Model</w:t>
      </w:r>
    </w:p>
    <w:p>
      <w:r>
        <w:t>Revenue formula based on license pricing:</w:t>
      </w:r>
    </w:p>
    <w:p>
      <w:r>
        <w:t>Rev = price_per_license × licenses_sold</w:t>
      </w:r>
    </w:p>
    <w:p>
      <w:pPr>
        <w:pStyle w:val="Heading2"/>
      </w:pPr>
      <w:r>
        <w:t>Cost Structure</w:t>
      </w:r>
    </w:p>
    <w:p>
      <w:r>
        <w:t>Total costs include three components:</w:t>
      </w:r>
    </w:p>
    <w:p>
      <w:r>
        <w:t>Cost = infrastructure_cost + model_cost + storage_cost</w:t>
      </w:r>
    </w:p>
    <w:p>
      <w:pPr>
        <w:pStyle w:val="Heading2"/>
      </w:pPr>
      <w:r>
        <w:t>Profitability Analysis</w:t>
      </w:r>
    </w:p>
    <w:p>
      <w:r>
        <w:t>Profit calculation:</w:t>
      </w:r>
    </w:p>
    <w:p>
      <w:r>
        <w:t>Profit = Rev - Cost</w:t>
      </w:r>
    </w:p>
    <w:p/>
    <w:p>
      <w:r>
        <w:t>If Profit &lt; 0, adjust pricing strategy to improve margins.</w:t>
      </w:r>
    </w:p>
    <w:p>
      <w:pPr>
        <w:pStyle w:val="Heading2"/>
      </w:pPr>
      <w:r>
        <w:t>Cost Per Query</w:t>
      </w:r>
    </w:p>
    <w:p>
      <w:r>
        <w:t>Cost per query analysis informs pricing models and helps identify cost optimization opportunities. Cost tracking dashboards increase transparency across the organization.</w:t>
      </w:r>
    </w:p>
    <w:p>
      <w:pPr>
        <w:pStyle w:val="Heading1"/>
      </w:pPr>
      <w:r>
        <w:t>15. Multi-Language Support &amp; Internationalization</w:t>
      </w:r>
    </w:p>
    <w:p>
      <w:r>
        <w:t>Multi-language support expands global usability. The system should handle queries in multiple languages with proper semantic understanding across linguistic boundaries.</w:t>
      </w:r>
    </w:p>
    <w:p>
      <w:pPr>
        <w:pStyle w:val="Heading2"/>
      </w:pPr>
      <w:r>
        <w:t>Supported Languages</w:t>
      </w:r>
    </w:p>
    <w:p>
      <w:pPr>
        <w:pStyle w:val="ListBullet"/>
      </w:pPr>
      <w:r>
        <w:t>English - Artificial intelligence enables contextual retrieval</w:t>
      </w:r>
    </w:p>
    <w:p>
      <w:pPr>
        <w:pStyle w:val="ListBullet"/>
      </w:pPr>
      <w:r>
        <w:t>Spanish - Inteligencia artificial mejora recuperación semántica</w:t>
      </w:r>
    </w:p>
    <w:p>
      <w:pPr>
        <w:pStyle w:val="ListBullet"/>
      </w:pPr>
      <w:r>
        <w:t>French - Intelligence artificielle améliore la gestion des connaissances</w:t>
      </w:r>
    </w:p>
    <w:p>
      <w:pPr>
        <w:pStyle w:val="ListBullet"/>
      </w:pPr>
      <w:r>
        <w:t>German - Künstliche Intelligenz verbessert Dokumentensuche</w:t>
      </w:r>
    </w:p>
    <w:p>
      <w:pPr>
        <w:pStyle w:val="ListBullet"/>
      </w:pPr>
      <w:r>
        <w:t>Japanese - 人工知能は企業の知識検索を向上させる</w:t>
      </w:r>
    </w:p>
    <w:p>
      <w:pPr>
        <w:pStyle w:val="ListBullet"/>
      </w:pPr>
      <w:r>
        <w:t>Chinese - 人工智能可以提升企业知识管理效率</w:t>
      </w:r>
    </w:p>
    <w:p>
      <w:pPr>
        <w:pStyle w:val="ListBullet"/>
      </w:pPr>
      <w:r>
        <w:t>Arabic - الذكاء الاصطناعي يحسن إدارة المعرفة</w:t>
      </w:r>
    </w:p>
    <w:p>
      <w:pPr>
        <w:pStyle w:val="ListBullet"/>
      </w:pPr>
      <w:r>
        <w:t>Russian - Искусственный интеллект улучшает поиск знаний</w:t>
      </w:r>
    </w:p>
    <w:p>
      <w:pPr>
        <w:pStyle w:val="Heading1"/>
      </w:pPr>
      <w:r>
        <w:t>16. Architecture &amp; Design Patterns</w:t>
      </w:r>
    </w:p>
    <w:p>
      <w:pPr>
        <w:pStyle w:val="Heading2"/>
      </w:pPr>
      <w:r>
        <w:t>Microservices Architecture</w:t>
      </w:r>
    </w:p>
    <w:p>
      <w:r>
        <w:t>Microservices architecture may increase scalability by decomposing the system into independent services. Service mesh architectures manage microservice communication. Container orchestration platforms manage scaling and deployment.</w:t>
      </w:r>
    </w:p>
    <w:p>
      <w:pPr>
        <w:pStyle w:val="Heading2"/>
      </w:pPr>
      <w:r>
        <w:t>Monolithic Architecture</w:t>
      </w:r>
    </w:p>
    <w:p>
      <w:r>
        <w:t>Monolithic architecture simplifies early development by keeping all components in a single application. This approach is suitable for MVP stage and smaller teams.</w:t>
      </w:r>
    </w:p>
    <w:p>
      <w:pPr>
        <w:pStyle w:val="Heading2"/>
      </w:pPr>
      <w:r>
        <w:t>Reliability Patterns</w:t>
      </w:r>
    </w:p>
    <w:p>
      <w:pPr>
        <w:pStyle w:val="ListBullet"/>
      </w:pPr>
      <w:r>
        <w:t>Queue monitoring prevents task backlog</w:t>
      </w:r>
    </w:p>
    <w:p>
      <w:pPr>
        <w:pStyle w:val="ListBullet"/>
      </w:pPr>
      <w:r>
        <w:t>Retry logic handles transient failures</w:t>
      </w:r>
    </w:p>
    <w:p>
      <w:pPr>
        <w:pStyle w:val="ListBullet"/>
      </w:pPr>
      <w:r>
        <w:t>Idempotent endpoints prevent duplicate processing</w:t>
      </w:r>
    </w:p>
    <w:p>
      <w:pPr>
        <w:pStyle w:val="ListBullet"/>
      </w:pPr>
      <w:r>
        <w:t>Timeouts prevent hanging requests</w:t>
      </w:r>
    </w:p>
    <w:p>
      <w:pPr>
        <w:pStyle w:val="Heading1"/>
      </w:pPr>
      <w:r>
        <w:t>17. Data Management &amp; Optimization</w:t>
      </w:r>
    </w:p>
    <w:p>
      <w:pPr>
        <w:pStyle w:val="Heading2"/>
      </w:pPr>
      <w:r>
        <w:t>Data Normalization</w:t>
      </w:r>
    </w:p>
    <w:p>
      <w:r>
        <w:t>Data normalization avoids redundancy in relational schemas. Denormalization may improve read performance in specific use cases by trading write efficiency for read speed.</w:t>
      </w:r>
    </w:p>
    <w:p>
      <w:pPr>
        <w:pStyle w:val="Heading2"/>
      </w:pPr>
      <w:r>
        <w:t>Data Validation</w:t>
      </w:r>
    </w:p>
    <w:p>
      <w:r>
        <w:t>Data validation reduces runtime errors. Input sanitization prevents injection attacks. Cross-site scripting must be mitigated through proper HTML escaping.</w:t>
      </w:r>
    </w:p>
    <w:p>
      <w:pPr>
        <w:pStyle w:val="Heading2"/>
      </w:pPr>
      <w:r>
        <w:t>Data Retention</w:t>
      </w:r>
    </w:p>
    <w:p>
      <w:r>
        <w:t>Time-based retention policies manage storage growth. Access analytics help identify popular documents. HTML responses must safely escape content. Plain text extraction may be required for analytics.</w:t>
      </w:r>
    </w:p>
    <w:p>
      <w:pPr>
        <w:pStyle w:val="Heading1"/>
      </w:pPr>
      <w:r>
        <w:t>18. Future Directions &amp; Innovation</w:t>
      </w:r>
    </w:p>
    <w:p>
      <w:pPr>
        <w:pStyle w:val="Heading2"/>
      </w:pPr>
      <w:r>
        <w:t>Multimodal Data Integration</w:t>
      </w:r>
    </w:p>
    <w:p>
      <w:r>
        <w:t>Future systems may integrate multimodal data including image embeddings to expand knowledge coverage and audio transcription to broaden ingestion capabilities. Real-time indexing enables immediate retrieval of new content.</w:t>
      </w:r>
    </w:p>
    <w:p>
      <w:pPr>
        <w:pStyle w:val="Heading2"/>
      </w:pPr>
      <w:r>
        <w:t>Advanced Reasoning</w:t>
      </w:r>
    </w:p>
    <w:p>
      <w:r>
        <w:t>Knowledge graphs may enhance relational reasoning and provide structured knowledge representation. Hybrid AI systems combining symbolic and neural methods offer greater interpretability and reasoning capability.</w:t>
      </w:r>
    </w:p>
    <w:p>
      <w:pPr>
        <w:pStyle w:val="Heading2"/>
      </w:pPr>
      <w:r>
        <w:t>Continuous Improvement</w:t>
      </w:r>
    </w:p>
    <w:p>
      <w:r>
        <w:t>Feedback loops allow model improvement through user interaction analysis. Fine-tuning may improve domain specificity. Zero-shot prompting reduces need for training. Prompt engineering significantly impacts answer quality.</w:t>
      </w:r>
    </w:p>
    <w:p>
      <w:pPr>
        <w:pStyle w:val="Heading1"/>
      </w:pPr>
      <w:r>
        <w:t>19. Best Practices &amp; Recommendations</w:t>
      </w:r>
    </w:p>
    <w:p>
      <w:pPr>
        <w:pStyle w:val="ListBullet"/>
      </w:pPr>
      <w:r>
        <w:t>Memory cleanup prevents resource leaks - temporary files should be deleted after processing</w:t>
      </w:r>
    </w:p>
    <w:p>
      <w:pPr>
        <w:pStyle w:val="ListBullet"/>
      </w:pPr>
      <w:r>
        <w:t>Code modularity improves extensibility and maintainability</w:t>
      </w:r>
    </w:p>
    <w:p>
      <w:pPr>
        <w:pStyle w:val="ListBullet"/>
      </w:pPr>
      <w:r>
        <w:t>Dependency injection enhances testability</w:t>
      </w:r>
    </w:p>
    <w:p>
      <w:pPr>
        <w:pStyle w:val="ListBullet"/>
      </w:pPr>
      <w:r>
        <w:t>System documentation aids maintainability and knowledge transfer</w:t>
      </w:r>
    </w:p>
    <w:p>
      <w:pPr>
        <w:pStyle w:val="ListBullet"/>
      </w:pPr>
      <w:r>
        <w:t>API documentation should be auto-generated from code</w:t>
      </w:r>
    </w:p>
    <w:p>
      <w:pPr>
        <w:pStyle w:val="ListBullet"/>
      </w:pPr>
      <w:r>
        <w:t>User onboarding flows should be intuitive and seamless</w:t>
      </w:r>
    </w:p>
    <w:p>
      <w:pPr>
        <w:pStyle w:val="ListBullet"/>
      </w:pPr>
      <w:r>
        <w:t>License purchase flows must be streamlined</w:t>
      </w:r>
    </w:p>
    <w:p>
      <w:pPr>
        <w:pStyle w:val="ListBullet"/>
      </w:pPr>
      <w:r>
        <w:t>Feature usage metrics guide roadmap decisions</w:t>
      </w:r>
    </w:p>
    <w:p>
      <w:pPr>
        <w:pStyle w:val="ListBullet"/>
      </w:pPr>
      <w:r>
        <w:t>Graceful error handling provides meaningful messages</w:t>
      </w:r>
    </w:p>
    <w:p>
      <w:pPr>
        <w:pStyle w:val="ListBullet"/>
      </w:pPr>
      <w:r>
        <w:t>Frontend rendering must safely escape HTML content</w:t>
      </w:r>
    </w:p>
    <w:p>
      <w:pPr>
        <w:pStyle w:val="Heading1"/>
      </w:pPr>
      <w:r>
        <w:t>Conclusion</w:t>
      </w:r>
    </w:p>
    <w:p>
      <w:r>
        <w:t>The evolution of AI-powered knowledge systems is only beginning. Scalable architecture ensures sustainable growth, while secure systems build lasting trust. Reliable performance drives adoption, and clear value propositions define market fit. Organizations must adapt continuously as technology evolves rapidly in the AI landscape. Long-term sustainability requires thoughtful architecture, responsible AI practices, and continuous iteration to refine performance and reliability. AI adoption depends on trust, reliability, explainability, and transparency in citation and grounding. The future of knowledge management is intelligent, contextual, and adaptive.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